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480" w:rightChars="15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</w:t>
      </w:r>
      <w:bookmarkStart w:id="0" w:name="_GoBack"/>
      <w:bookmarkEnd w:id="0"/>
      <w:r>
        <w:rPr>
          <w:rFonts w:hint="eastAsia" w:ascii="黑体" w:eastAsia="黑体"/>
          <w:sz w:val="32"/>
        </w:rPr>
        <w:t>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rPr>
          <w:rFonts w:hint="eastAsia"/>
        </w:rPr>
      </w:pPr>
    </w:p>
    <w:p>
      <w:pPr>
        <w:spacing w:line="460" w:lineRule="atLeast"/>
        <w:rPr>
          <w:rFonts w:hint="eastAsia" w:ascii="仿宋_GB2312"/>
          <w:spacing w:val="11"/>
          <w:sz w:val="32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慈溪市农业农村局文件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慈农建〔20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　　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　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  <w:szCs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66675</wp:posOffset>
                </wp:positionV>
                <wp:extent cx="555879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5.25pt;height:0.2pt;width:437.7pt;z-index:251660288;mso-width-relative:page;mso-height-relative:page;" filled="f" stroked="t" coordsize="21600,21600" o:gfxdata="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5pT6f1gAAAAcBAAAP&#10;AAAAAAAAAAEAIAAAACIAAABkcnMvZG93bnJldi54bWxQSwECFAAUAAAACACHTuJAZzepNuEBAACa&#10;AwAADgAAAAAAAAABACAAAAAl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rPr>
          <w:rFonts w:hint="eastAsia" w:ascii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textAlignment w:val="auto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张建锋代表: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关于进一步落实低收入农户增收政策的建议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》已收悉，我局及时组织人员进行了认真研究，并提出具体承办意见，现答复如下：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我市低收入农户以老弱病残为主，无劳动能力的占比75%以上，基本上不可能通过靠经营种植、劳务就业等挖掘内生动能的奖补方式进行帮扶。针对一些低收入农户主观上存在“被周边群众孤立、疏离”的心理问题，“一户一策一干部”政策趋同等情况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下步主要提升以下四方面工作：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一、继续加大精准扶持力度。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体现在三方面，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延长政策时效，我市低收入农户精准扶持政策有效时限由至今年年底将延续至2025年年底，有效保障巩固拓展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脱贫攻坚成果同乡村振兴有效衔接这一过渡期内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帮扶政策的持续、稳定；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扩大享受范围。近日，宁波市局就《宁波市低收入农户精准扶持增收实施办法（修订版）》征求各地意见，后续，我市将视情探索低收入农户从事第三产业纳入奖补范围，配合市商务局、市农合联执委会（市供销社）做好相关职业技能培训。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强产业项目。政策鼓励镇（街道）或村整合财政帮扶资金、相关涉农资金和社会帮扶资金等投入设施农业、养殖、水电、乡村旅游、光伏电站等项目，形成的资产收益分红权折股量化到低收入农户和村集体，并优先保障丧失劳动能力的低收入农户。自精准扶持政策施行以来，我市共有3个产业帮扶项目，即新浦镇六甲村农贸市场提升                                                                                                           工程，崇寿镇傅福村光伏发电项目和崇寿镇四灶浦村光伏发电项目，其中崇寿的2个项目产生的部分收益均分给该镇所有低收入农户，彻底消除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不患寡而患不均”的隐患。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二、探索发展新型帮扶模式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电子商务作为依托互联网（平台）开展的销售模式，是较为有效且成本相对较少的新型销售模式。我市一直以慈溪特色产业带为依托，重项目落地，抓优质服务，为包括低收入群众在内的广大慈溪居民提供全方位的电商公共服务。下步，将进一步深化管理、优化服务，组织引导低收入群众到基地和园区参观考察，力所能及地为他们提供全方位的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三、关心关爱农户心理健康。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</w:rPr>
        <w:t>我市不定期通过各种载体对心理健康相关知识进行普及、宣传，提高低收入农户对心理健康的认识能力。同时，各镇（街道）为低收入农户开展定期的心理健康知识讲座，并由专业的心理讲师针对民众关心的问题进行解答。市卫生健康局联合市农业农村局对有心理问题的农户进行走访，选派专业医生对这些农户进行评估、测试，将评估结果汇总、分析后及时反馈给市农业农村局，对有问题的农户建议到慈溪市第七人民医院就诊，由专业医生做出诊断并开展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四、持续深化结对帮扶制度。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进一步落实“一户一策一干部”政策，充分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发挥自身部门和技能优势，因户施策，因人施策，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每月进行至少一次的走访帮扶。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开展帮扶工作要以扶智扶志为主，既要在提供致富信息、教会实用技术、联系就业岗位、落实增收项目等方面下功夫，又要注重对帮扶对象脱贫致富观念等方面问题的关心。对有一定劳动能力或劳动意愿的低收入农户，要以送技术、促就业、帮资金为主，帮助理清发展思路、制定发展规划或特色产业项目；协助参加技能培训，提高生产水平和就业创业能力；做好精准扶持增收政策的宣传引导，增强低收入农户自身“造血”功能。对无劳动能力的低收入农户，注重对他们的生活关怀、精神慰藉，及时掌握他们的生活情况，帮助落实相关扶持、补助政策。各地各部门的结对干部和村干部要高度重视、精心组织，用真心去走访，用真情慰真心，真正把党的关怀和温暖送到低收入农户的心坎上，让走访慰问走心、走实、走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128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二〇二二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二十七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抄  送：市人大代表工委，市政府办公室，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市教育局，市民政局，市住建局，市水利局，市卫生健康局，市医保局，市残联，市人力社保局，市商务局，市农合联执委会，长河镇人大主席团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63976713</w:t>
      </w:r>
    </w:p>
    <w:sectPr>
      <w:footerReference r:id="rId3" w:type="default"/>
      <w:pgSz w:w="11906" w:h="16838"/>
      <w:pgMar w:top="2098" w:right="1531" w:bottom="1985" w:left="1531" w:header="1020" w:footer="1134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center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jkxMWMwZTdjYWQ0NzZhNGM4MDgxMzYxZDA2NjMifQ=="/>
  </w:docVars>
  <w:rsids>
    <w:rsidRoot w:val="431945E3"/>
    <w:rsid w:val="00137660"/>
    <w:rsid w:val="10951AB3"/>
    <w:rsid w:val="19F76AFA"/>
    <w:rsid w:val="223B693B"/>
    <w:rsid w:val="26ED22BB"/>
    <w:rsid w:val="29524013"/>
    <w:rsid w:val="31262D3A"/>
    <w:rsid w:val="35E72002"/>
    <w:rsid w:val="3BF75F53"/>
    <w:rsid w:val="3E51129C"/>
    <w:rsid w:val="431945E3"/>
    <w:rsid w:val="4BE53591"/>
    <w:rsid w:val="4F5F55C6"/>
    <w:rsid w:val="53845E98"/>
    <w:rsid w:val="5D26766B"/>
    <w:rsid w:val="5F2A2419"/>
    <w:rsid w:val="660B5847"/>
    <w:rsid w:val="732A1122"/>
    <w:rsid w:val="73A412E4"/>
    <w:rsid w:val="7A4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9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1954</Words>
  <Characters>2021</Characters>
  <Lines>1</Lines>
  <Paragraphs>1</Paragraphs>
  <TotalTime>3</TotalTime>
  <ScaleCrop>false</ScaleCrop>
  <LinksUpToDate>false</LinksUpToDate>
  <CharactersWithSpaces>2039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2022-05-08T02:27:00Z</dcterms:created>
  <dc:creator>邵晶晶</dc:creator>
  <cp:lastModifiedBy>Lenovo</cp:lastModifiedBy>
  <dcterms:modified xsi:type="dcterms:W3CDTF">2022-06-29T03:48:39Z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8C7519BED0784EF28C500A01BD96B4F1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