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81" w:rsidRDefault="00E72C81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E72C81" w:rsidRDefault="00E72C81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E72C81" w:rsidRPr="00F35278" w:rsidRDefault="007C6108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F35278">
        <w:rPr>
          <w:rFonts w:ascii="宋体" w:eastAsia="宋体" w:hAnsi="宋体" w:hint="eastAsia"/>
          <w:b/>
          <w:bCs/>
          <w:sz w:val="44"/>
          <w:szCs w:val="44"/>
        </w:rPr>
        <w:t>关于改进农业设施用地的审批，促进现代</w:t>
      </w:r>
    </w:p>
    <w:p w:rsidR="00E72C81" w:rsidRPr="00F35278" w:rsidRDefault="007C6108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F35278">
        <w:rPr>
          <w:rFonts w:ascii="宋体" w:eastAsia="宋体" w:hAnsi="宋体" w:hint="eastAsia"/>
          <w:b/>
          <w:bCs/>
          <w:sz w:val="44"/>
          <w:szCs w:val="44"/>
        </w:rPr>
        <w:t>农业发展的建议</w:t>
      </w:r>
    </w:p>
    <w:p w:rsidR="00E72C81" w:rsidRDefault="00E72C81">
      <w:pPr>
        <w:spacing w:line="560" w:lineRule="exact"/>
        <w:jc w:val="center"/>
        <w:rPr>
          <w:rFonts w:ascii="Microsoft Sans Serif" w:hAnsi="Microsoft Sans Serif"/>
          <w:b/>
          <w:bCs/>
          <w:sz w:val="18"/>
          <w:szCs w:val="18"/>
        </w:rPr>
      </w:pPr>
    </w:p>
    <w:p w:rsidR="00E72C81" w:rsidRDefault="007C6108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>
        <w:rPr>
          <w:rFonts w:ascii="楷体_GB2312" w:eastAsia="楷体_GB2312" w:hint="eastAsia"/>
          <w:sz w:val="32"/>
          <w:szCs w:val="32"/>
        </w:rPr>
        <w:t>沈忠宝</w:t>
      </w:r>
    </w:p>
    <w:p w:rsidR="00E72C81" w:rsidRDefault="007C6108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E72C81" w:rsidRDefault="00E72C81">
      <w:pPr>
        <w:spacing w:line="560" w:lineRule="exact"/>
        <w:rPr>
          <w:rFonts w:ascii="楷体_GB2312" w:eastAsia="楷体_GB2312"/>
          <w:sz w:val="32"/>
          <w:szCs w:val="32"/>
        </w:rPr>
      </w:pPr>
    </w:p>
    <w:p w:rsidR="00E72C81" w:rsidRDefault="007C6108" w:rsidP="007C6108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近年来，我市现代农业快速发展，农村新产业新业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态不断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涌现，对设施农用地和建设用地提出了新的更高的要求，亟需通过强化用地保障，解决现行土地管理政策难以适应发展需要，以及农业企业和农业经营主体农业“用地难”等问题。</w:t>
      </w:r>
    </w:p>
    <w:p w:rsidR="00E72C81" w:rsidRDefault="007C6108" w:rsidP="007C6108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今年的中央一号文件指出，将农业种植养殖配建的各类辅助设施用地纳入农用地管理，合理确定辅助设施用地规模上限，允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许农业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设施用地使用耕地，为发展现代农业必需的一些辅助设施提供落地条件。</w:t>
      </w:r>
    </w:p>
    <w:p w:rsidR="00E72C81" w:rsidRDefault="007C6108" w:rsidP="007C6108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针对现在许多地方把建设用地指标优先用于城市二、三产业，发展现代农业很难申请等情况，一号文件提出新编县乡级国土空间规划安排不少于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10%</w:t>
      </w:r>
      <w:r>
        <w:rPr>
          <w:rFonts w:ascii="仿宋_GB2312" w:eastAsia="仿宋_GB2312" w:hAnsi="仿宋_GB2312" w:cs="仿宋_GB2312" w:hint="eastAsia"/>
          <w:sz w:val="32"/>
          <w:szCs w:val="32"/>
        </w:rPr>
        <w:t>的建设用地指标，保障现代农业发展。与此同时，农村集体建设用地也可以通过入股、租用等方式直接用于发展现代农业，盘活这些土地资源，解决农业企业、农业经营主体对设施农用地需求，为此建议：</w:t>
      </w:r>
    </w:p>
    <w:p w:rsidR="00E72C81" w:rsidRDefault="007C6108" w:rsidP="007C6108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、市政府要会同国土规划、农业农村局出台设施农用地的实施方案，简化审批手续，由经营主体申报，村、镇把关审批，报国土、农业农村部门备案；</w:t>
      </w:r>
    </w:p>
    <w:p w:rsidR="00E72C81" w:rsidRDefault="007C6108" w:rsidP="007C6108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、设施农用地涉及基本农田的，市政府要安排一定数量的用地指标，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实行占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补平衡；</w:t>
      </w:r>
    </w:p>
    <w:p w:rsidR="00E72C81" w:rsidRDefault="007C6108" w:rsidP="007C6108">
      <w:pPr>
        <w:spacing w:line="560" w:lineRule="exact"/>
        <w:ind w:firstLineChars="200" w:firstLine="640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、要因地制宜，区别对待，搞初加工、种植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的同搞养殖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的要分别对待，如初加工、种植的对环境没有影响的要放宽审批，如农用保鲜冷库、摆放农机具的用房、烘谷场所等，搞养殖的要先进行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环评再审批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，特别涉及“菜篮子”、“米袋子”等民生工程要优先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E72C81" w:rsidRDefault="00E72C81" w:rsidP="007C6108">
      <w:pPr>
        <w:spacing w:line="560" w:lineRule="exact"/>
        <w:rPr>
          <w:sz w:val="24"/>
          <w:szCs w:val="24"/>
        </w:rPr>
      </w:pPr>
    </w:p>
    <w:sectPr w:rsidR="00E72C81" w:rsidSect="007C6108">
      <w:footerReference w:type="default" r:id="rId7"/>
      <w:pgSz w:w="11906" w:h="16838"/>
      <w:pgMar w:top="2098" w:right="1531" w:bottom="1985" w:left="1531" w:header="1021" w:footer="1588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81" w:rsidRDefault="00E72C81" w:rsidP="00E72C81">
      <w:r>
        <w:separator/>
      </w:r>
    </w:p>
  </w:endnote>
  <w:endnote w:type="continuationSeparator" w:id="1">
    <w:p w:rsidR="00E72C81" w:rsidRDefault="00E72C81" w:rsidP="00E72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81" w:rsidRDefault="00E72C8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72C81" w:rsidRDefault="00E72C8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C610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C610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81" w:rsidRDefault="00E72C81" w:rsidP="00E72C81">
      <w:r>
        <w:separator/>
      </w:r>
    </w:p>
  </w:footnote>
  <w:footnote w:type="continuationSeparator" w:id="1">
    <w:p w:rsidR="00E72C81" w:rsidRDefault="00E72C81" w:rsidP="00E72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0F8"/>
    <w:rsid w:val="00246E87"/>
    <w:rsid w:val="003B12E4"/>
    <w:rsid w:val="004D17D5"/>
    <w:rsid w:val="007C6108"/>
    <w:rsid w:val="007D0126"/>
    <w:rsid w:val="00996950"/>
    <w:rsid w:val="00A030F8"/>
    <w:rsid w:val="00BA14D2"/>
    <w:rsid w:val="00C85E69"/>
    <w:rsid w:val="00CC37D5"/>
    <w:rsid w:val="00D82902"/>
    <w:rsid w:val="00E72C81"/>
    <w:rsid w:val="00EC0EC8"/>
    <w:rsid w:val="00F35278"/>
    <w:rsid w:val="02E2496D"/>
    <w:rsid w:val="064E4208"/>
    <w:rsid w:val="0AAF5720"/>
    <w:rsid w:val="0B1C2BFF"/>
    <w:rsid w:val="0FBD1AF0"/>
    <w:rsid w:val="103A2AA5"/>
    <w:rsid w:val="12381D6B"/>
    <w:rsid w:val="13E55674"/>
    <w:rsid w:val="19723060"/>
    <w:rsid w:val="19F34969"/>
    <w:rsid w:val="290274FB"/>
    <w:rsid w:val="29C26D36"/>
    <w:rsid w:val="2CF31D16"/>
    <w:rsid w:val="2D887676"/>
    <w:rsid w:val="343605D5"/>
    <w:rsid w:val="371A4D67"/>
    <w:rsid w:val="376633CF"/>
    <w:rsid w:val="37CE2ED4"/>
    <w:rsid w:val="3A6B53A5"/>
    <w:rsid w:val="3AF16200"/>
    <w:rsid w:val="3DF27BE1"/>
    <w:rsid w:val="44756A97"/>
    <w:rsid w:val="47FF0241"/>
    <w:rsid w:val="481E00AF"/>
    <w:rsid w:val="4AA96B5C"/>
    <w:rsid w:val="4D4E64C1"/>
    <w:rsid w:val="520365A7"/>
    <w:rsid w:val="56D44872"/>
    <w:rsid w:val="60D33453"/>
    <w:rsid w:val="617C6604"/>
    <w:rsid w:val="63CF246E"/>
    <w:rsid w:val="68576075"/>
    <w:rsid w:val="6DBF796F"/>
    <w:rsid w:val="711A19BF"/>
    <w:rsid w:val="73E108A1"/>
    <w:rsid w:val="7FF4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E72C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E72C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E72C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2020-01-15T03:21:00Z</cp:lastPrinted>
  <dcterms:created xsi:type="dcterms:W3CDTF">2019-11-15T05:39:00Z</dcterms:created>
  <dcterms:modified xsi:type="dcterms:W3CDTF">2020-05-09T07:09:00Z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