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仿宋_GB2312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 xml:space="preserve">A </w:t>
      </w:r>
    </w:p>
    <w:p>
      <w:pPr>
        <w:spacing w:line="460" w:lineRule="atLeast"/>
        <w:jc w:val="center"/>
        <w:rPr>
          <w:rFonts w:ascii="方正小标宋简体" w:eastAsia="方正小标宋简体"/>
          <w:color w:val="FF0000"/>
          <w:spacing w:val="-50"/>
          <w:w w:val="7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溪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市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综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行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政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执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法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局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文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</w:t>
      </w:r>
      <w:bookmarkStart w:id="0" w:name="_GoBack"/>
      <w:r>
        <w:rPr>
          <w:rFonts w:hint="eastAsia" w:ascii="仿宋_GB2312" w:eastAsia="仿宋_GB2312"/>
          <w:sz w:val="32"/>
        </w:rPr>
        <w:t>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号　</w:t>
      </w:r>
      <w:bookmarkEnd w:id="0"/>
      <w:r>
        <w:rPr>
          <w:rFonts w:hint="eastAsia" w:ascii="仿宋_GB2312" w:eastAsia="仿宋_GB2312"/>
          <w:sz w:val="32"/>
        </w:rPr>
        <w:t>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俞其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十七届</w:t>
      </w:r>
      <w:r>
        <w:rPr>
          <w:rFonts w:hint="eastAsia" w:ascii="方正小标宋简体" w:eastAsia="方正小标宋简体"/>
          <w:sz w:val="44"/>
          <w:szCs w:val="44"/>
        </w:rPr>
        <w:t>三次会议第154号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建议的答复</w:t>
      </w:r>
    </w:p>
    <w:p>
      <w:pPr>
        <w:spacing w:line="56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张郁文代表：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您提出的《关于进一步加强我市生活垃圾处理的建议》已收悉，我们进行了认真的研究，现答复如下：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6" w:firstLineChars="22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我市经济社会的不断发展，垃圾产生量呈逐年增长的态势，垃圾能否得到有效处置，直接影响着百姓的日常生活，关系着城市的可持续发展，是一件不可忽视的大事。为做好垃圾“资源化、减量化、无害化”收运处置工作，近年来，我局不断提升生活垃圾处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，主要做了以下工作：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一、全市推行垃圾密闭化收集。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已建立较完善的“户集、村收、镇（街道）运、市处置”的生活垃圾无害化处理体系。各村（社区）落实专门收集人员实行“定区域、定岗、定人、定报酬”的四定责任制进行上门收集，全市273个行政村和各社区、物业小区生活垃圾继续保持集中收集行政村覆盖率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。全市每个镇（街道）均建有1座以上的垃圾中转站，基本实现城乡全覆盖，目前各镇（街道）共有42座垃圾中转站，共配有139辆垃圾运输车辆对各镇（街道）垃圾进行密闭化运输，做到垃圾日产日清。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二、推行“车载桶装、以桶换桶”的收集模式。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，率先在中心城区铺开“以桶换桶”工作，依照平均10至15户设置一只的原则，配齐垃圾桶与清运车辆，并同步做好一天两次收集与清洗。2017年，继续投入1亿余元，新添设施设备，新建中转站点，新配收运人员，将该工作推广至其它镇（街道），构建起完善的密闭化收集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三、提升生活垃圾焚烧发电水平。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2009年，投资4.7亿元，建成生活垃圾焚烧发电厂，建有4台日处理能力为500吨的垃圾焚烧炉，采用循环流化床垃圾焚烧技术焚烧处置生活垃圾，最大日处理能力为2000吨。2017年起，继续投资6.9亿元实施炉排炉提标改造工程，建设三台炉排炉垃圾焚烧炉，每台日处理量为750吨。目前，三台（5#、6#、7#）均已建成并正常运行，烟气排放达标，部分指标超过了欧盟标准。焚烧量满足我市生活垃圾日处置需求，全市已实现原生生活垃圾零填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四、全力做好生活垃圾分类工作。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依照浙江省、宁波市有关生活垃圾分类工作部署，我市逐步推进生活垃圾分类工作，并取得了一定成效。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，我市中心城区125个居住小区，累计完成分类覆盖69个、覆盖率55.2%；农村地区273个行政村，累计完成分类覆盖195个、覆盖率71.4%；全市机关事业单位、国有企业、学校等公共机构基本实现全覆盖。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为进一步推进生活垃圾处理工作，我局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将会同相关部门做好以下几方面的工作：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一、继续推进我市生活垃圾分类工作。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下一步，我市将对照省、宁波市要求，继续提升我市生活垃圾分类覆盖面。计划至2019年12月底，中心城区生活垃圾分类覆盖面达到100%，农村覆盖面达到70%。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二、规范中间分类收运环节。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“以桶换桶”工作成效，抓实中间分类收运规范化管理工作。通过组织专项监督检查、第三方人员抽查等方式，对居住小区、行政村、机关事业单位等生活垃圾分类工作开展定期通报检查，提升前端分类投放设施设置规范化程度。同时，配备垃圾分类集运车辆，统一、规范收运车辆标识，在条件成熟的行政村（居住小区）率先试点分类收运，减少“混收混运”现象。强化物业服务企业管理，要求其参与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三、提升终端资源利用水平。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、高效率、高水平推动已有终端处置设施建设，确保在今年6月底前建成并投运餐厨垃圾BOT二期工程，明年3月底前建成并投运200吨/日的厨余垃圾项目。加快引进建筑垃圾（泥浆）资源化利用项目，加速推进市综合垃圾填埋场、市生活垃圾焚烧发电厂8号炉等项目建设前期准备工作，确保我市分类后的生活垃圾得到精准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四、强化生活垃圾运输车辆管理工作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，全市生活垃圾运输车辆由属地街道负责作业、管理、运营。我局将依照部门职责，加强对全市各镇（街道）生活垃圾运输车辆的检查、考核、指导。要求运输车辆严格按照既定线路将生活垃圾装运至垃圾焚烧厂，必须遵守交通法规，经过村庄禁鸣喇叭，减速行驶，确保交通安全。做好密闭化收运收运工作，严禁“滴漏撒”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以上答复如有不当之处，请批评指正，并恳请您一如既往地关心、支持我们的工作。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抄　　送：市政府办公室，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市人大代表工委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 系 人：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徐军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联系电话：58971850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F7"/>
    <w:rsid w:val="001F4259"/>
    <w:rsid w:val="002174D1"/>
    <w:rsid w:val="002417FF"/>
    <w:rsid w:val="002704AC"/>
    <w:rsid w:val="002E1151"/>
    <w:rsid w:val="003501F7"/>
    <w:rsid w:val="00535891"/>
    <w:rsid w:val="00556433"/>
    <w:rsid w:val="00727DEE"/>
    <w:rsid w:val="009405BD"/>
    <w:rsid w:val="009578B7"/>
    <w:rsid w:val="009A33CB"/>
    <w:rsid w:val="009F2B8D"/>
    <w:rsid w:val="00AA1954"/>
    <w:rsid w:val="00AE41F4"/>
    <w:rsid w:val="00B22FFC"/>
    <w:rsid w:val="00B61677"/>
    <w:rsid w:val="00B84DF7"/>
    <w:rsid w:val="00BF71AF"/>
    <w:rsid w:val="00C00DE3"/>
    <w:rsid w:val="00C735D9"/>
    <w:rsid w:val="00C91124"/>
    <w:rsid w:val="00C96A5C"/>
    <w:rsid w:val="00CE5B6B"/>
    <w:rsid w:val="00DD0F87"/>
    <w:rsid w:val="00E704F7"/>
    <w:rsid w:val="00E800B3"/>
    <w:rsid w:val="00F11BCC"/>
    <w:rsid w:val="00FC16E3"/>
    <w:rsid w:val="030221EA"/>
    <w:rsid w:val="0492414E"/>
    <w:rsid w:val="0513285C"/>
    <w:rsid w:val="096D399A"/>
    <w:rsid w:val="0F9D0DBB"/>
    <w:rsid w:val="12BB06C5"/>
    <w:rsid w:val="131F4303"/>
    <w:rsid w:val="151964F1"/>
    <w:rsid w:val="1EE24BE8"/>
    <w:rsid w:val="1FE37877"/>
    <w:rsid w:val="22923B74"/>
    <w:rsid w:val="25163948"/>
    <w:rsid w:val="26E81B1B"/>
    <w:rsid w:val="272F5C45"/>
    <w:rsid w:val="275F2157"/>
    <w:rsid w:val="29863A17"/>
    <w:rsid w:val="309F2BCA"/>
    <w:rsid w:val="32455D7D"/>
    <w:rsid w:val="34BD3B7F"/>
    <w:rsid w:val="35867B88"/>
    <w:rsid w:val="3B37747F"/>
    <w:rsid w:val="3BC24A63"/>
    <w:rsid w:val="44ED0E8E"/>
    <w:rsid w:val="45594B80"/>
    <w:rsid w:val="48A52064"/>
    <w:rsid w:val="4C29575D"/>
    <w:rsid w:val="4C3940DC"/>
    <w:rsid w:val="51CA691B"/>
    <w:rsid w:val="55C76798"/>
    <w:rsid w:val="5C310881"/>
    <w:rsid w:val="5D24186D"/>
    <w:rsid w:val="5E9C3831"/>
    <w:rsid w:val="623B6C88"/>
    <w:rsid w:val="65EC3271"/>
    <w:rsid w:val="6E0C5C5E"/>
    <w:rsid w:val="6EAE2888"/>
    <w:rsid w:val="6EFE28FD"/>
    <w:rsid w:val="702550B5"/>
    <w:rsid w:val="71393962"/>
    <w:rsid w:val="785731D1"/>
    <w:rsid w:val="7AE81688"/>
    <w:rsid w:val="7C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strikethrough"/>
    <w:basedOn w:val="6"/>
    <w:qFormat/>
    <w:uiPriority w:val="0"/>
    <w:rPr>
      <w:strike/>
    </w:rPr>
  </w:style>
  <w:style w:type="character" w:customStyle="1" w:styleId="21">
    <w:name w:val="fontborder"/>
    <w:basedOn w:val="6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2017-05-08T08:06:00Z</dcterms:created>
  <dc:creator>Administrator</dc:creator>
  <cp:lastModifiedBy>林</cp:lastModifiedBy>
  <cp:lastPrinted>2019-06-28T02:04:00Z</cp:lastPrinted>
  <dcterms:modified xsi:type="dcterms:W3CDTF">2019-06-28T04:09:52Z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