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hint="eastAsia" w:ascii="仿宋_GB2312" w:eastAsia="仿宋_GB2312"/>
          <w:color w:val="FF0000"/>
          <w:sz w:val="32"/>
        </w:rPr>
      </w:pPr>
    </w:p>
    <w:p>
      <w:pPr>
        <w:spacing w:line="1000" w:lineRule="exact"/>
        <w:jc w:val="center"/>
        <w:rPr>
          <w:rFonts w:hint="eastAsia" w:ascii="方正小标宋简体" w:eastAsia="方正小标宋简体"/>
          <w:color w:val="FF0000"/>
          <w:w w:val="90"/>
          <w:sz w:val="72"/>
          <w:szCs w:val="72"/>
        </w:rPr>
      </w:pPr>
      <w:r>
        <w:rPr>
          <w:rFonts w:hint="eastAsia" w:ascii="方正小标宋简体" w:eastAsia="方正小标宋简体"/>
          <w:color w:val="FF0000"/>
          <w:w w:val="90"/>
          <w:sz w:val="72"/>
          <w:szCs w:val="72"/>
        </w:rPr>
        <w:t>慈溪市经济和信息化局</w:t>
      </w:r>
    </w:p>
    <w:p>
      <w:pPr>
        <w:pBdr>
          <w:bottom w:val="single" w:color="auto" w:sz="4" w:space="1"/>
        </w:pBdr>
        <w:spacing w:line="560" w:lineRule="exact"/>
        <w:rPr>
          <w:rFonts w:hint="eastAsia" w:ascii="仿宋_GB2312" w:eastAsia="仿宋_GB2312"/>
          <w:color w:val="FF0000"/>
          <w:sz w:val="32"/>
          <w:u w:val="single" w:color="FF0000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370840</wp:posOffset>
                </wp:positionV>
                <wp:extent cx="527812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1255" y="2306320"/>
                          <a:ext cx="52781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9.2pt;height:0pt;width:415.6pt;z-index:251658240;mso-width-relative:page;mso-height-relative:page;" filled="f" stroked="t" coordsize="21600,21600" o:gfxdata="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rXXRHVAAAABgEAAA8AAAAAAAAAAQAg&#10;AAAAIgAAAGRycy9kb3ducmV2LnhtbFBLAQIUABQAAAAIAIdO4kBr/FHk2AEAAHADAAAOAAAAAAAA&#10;AAEAIAAAACQBAABkcnMvZTJvRG9jLnhtbFBLBQYAAAAABgAGAFkBAABuBQAAAAA=&#10;">
                <v:fill on="f" focussize="0,0"/>
                <v:stroke weight="2.2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关于市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十七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届人大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第</w:t>
      </w:r>
      <w:r>
        <w:rPr>
          <w:rFonts w:hint="eastAsia" w:ascii="方正小标宋简体" w:eastAsia="方正小标宋简体"/>
          <w:b/>
          <w:bCs/>
          <w:sz w:val="44"/>
          <w:szCs w:val="44"/>
          <w:lang w:val="en-US" w:eastAsia="zh-CN"/>
        </w:rPr>
        <w:t>250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号建议的协办意见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textAlignment w:val="auto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eastAsia="zh-CN"/>
        </w:rPr>
        <w:t>市金融办</w:t>
      </w:r>
      <w:r>
        <w:rPr>
          <w:rFonts w:hint="eastAsia" w:ascii="仿宋_GB2312" w:eastAsia="仿宋_GB2312"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市十七届人大三次会议第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250</w:t>
      </w:r>
      <w:r>
        <w:rPr>
          <w:rFonts w:hint="eastAsia" w:ascii="仿宋_GB2312" w:eastAsia="仿宋_GB2312"/>
          <w:sz w:val="32"/>
          <w:szCs w:val="32"/>
          <w:lang w:eastAsia="zh-CN"/>
        </w:rPr>
        <w:t>号《关于解决中小企业融资难的建议》收悉，现提出如下协办意见：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我市自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2016年底</w:t>
      </w:r>
      <w:r>
        <w:rPr>
          <w:rFonts w:hint="eastAsia" w:ascii="仿宋_GB2312" w:eastAsia="仿宋_GB2312"/>
          <w:sz w:val="32"/>
          <w:szCs w:val="32"/>
          <w:lang w:eastAsia="zh-CN"/>
        </w:rPr>
        <w:t>获批国家产融合作试点城市以来，高度重视产融合作工作，充分发挥政府引导作用，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创新金融服务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推广财政金融互动、加大政策扶持力度，</w:t>
      </w:r>
      <w:r>
        <w:rPr>
          <w:rFonts w:hint="eastAsia" w:ascii="仿宋_GB2312" w:eastAsia="仿宋_GB2312"/>
          <w:sz w:val="32"/>
          <w:szCs w:val="32"/>
          <w:lang w:eastAsia="zh-CN"/>
        </w:rPr>
        <w:t>取得明显成效。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一、创新金融服务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推进以百强企业为核心的产业链金融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通过金融机构提前介入，沟通设计服务方案，将龙头企业的信用向下覆盖至其优质供应商，通过信用贷款、应收账款质押等方式降低供应商企业融资难度，拓宽融资渠道，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进一步</w:t>
      </w:r>
      <w:r>
        <w:rPr>
          <w:rFonts w:hint="eastAsia" w:ascii="仿宋_GB2312" w:eastAsia="仿宋_GB2312"/>
          <w:sz w:val="32"/>
          <w:szCs w:val="32"/>
        </w:rPr>
        <w:t>提高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核心企业</w:t>
      </w:r>
      <w:r>
        <w:rPr>
          <w:rFonts w:hint="eastAsia" w:ascii="仿宋_GB2312" w:eastAsia="仿宋_GB2312"/>
          <w:sz w:val="32"/>
          <w:szCs w:val="32"/>
        </w:rPr>
        <w:t>与供应商的粘合度。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2018年，</w:t>
      </w:r>
      <w:r>
        <w:rPr>
          <w:rFonts w:hint="eastAsia" w:ascii="仿宋_GB2312" w:eastAsia="仿宋_GB2312"/>
          <w:sz w:val="32"/>
          <w:szCs w:val="32"/>
        </w:rPr>
        <w:t>我市已促成3条产业链企业融资，累计融资额达到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5955.2</w:t>
      </w:r>
      <w:r>
        <w:rPr>
          <w:rFonts w:hint="eastAsia" w:ascii="仿宋_GB2312" w:eastAsia="仿宋_GB2312"/>
          <w:sz w:val="32"/>
          <w:szCs w:val="32"/>
        </w:rPr>
        <w:t>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积极开展保险业创新工作。以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国家保险创新综合试验区为契机，积极落实保险业务创新工作，制定出台了《慈溪市推进国家保险创新综合试验区建设项目工作方案》（慈党办〔2017〕83号），提高保险服务功能，拓宽保险支持实体经济渠道。探索开展中小微企业综合财产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电梯安全责任险、首台套保险、新材料保险等险种的试点，增强企业风险抵御能力。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创新拓宽抵押登记内涵。</w:t>
      </w:r>
      <w:r>
        <w:rPr>
          <w:rFonts w:hint="eastAsia" w:ascii="仿宋_GB2312" w:hAnsi="仿宋_GB2312" w:eastAsia="仿宋_GB2312" w:cs="仿宋_GB2312"/>
          <w:sz w:val="32"/>
          <w:szCs w:val="32"/>
        </w:rPr>
        <w:t>鼓励小微企业以商标权质押融资、作价入股等方式推动其价值开发运用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实现动产抵押登记的两个延伸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在登记类型上，把生产设备、原材料、半成品、产品等动产整体打包进行“浮动抵押”；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</w:rPr>
        <w:t>抵押权人方面，放开个人、一般企业及融资租赁企业依法开展融资租赁业务。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二、推广财政金融互动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firstLine="64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规范发展稳健的融资担保体系。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出台《慈溪市推进政策性融资担保体系建设实施方案》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筹建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国有独资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策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性融资担保公司，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目前公司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注册资本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1亿元已经到位，组织架构已经确定，待完成设立审批后为企业提供融资担保服务。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/>
        </w:rPr>
        <w:t>扩大银税合作规模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zh-CN"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市税务局与全市</w:t>
      </w:r>
      <w:r>
        <w:rPr>
          <w:rFonts w:ascii="仿宋_GB2312" w:eastAsia="仿宋_GB2312"/>
          <w:sz w:val="32"/>
          <w:szCs w:val="32"/>
        </w:rPr>
        <w:t>14家商业银行签署合作协议，开展全面的银税战略合作</w:t>
      </w:r>
      <w:r>
        <w:rPr>
          <w:rFonts w:hint="eastAsia" w:ascii="仿宋_GB2312" w:eastAsia="仿宋_GB2312"/>
          <w:sz w:val="32"/>
          <w:szCs w:val="32"/>
        </w:rPr>
        <w:t>，推出银税综合服务项目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截至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2018年底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，全市5家商业银行共计向905户企业发放银税互动贷款，其中小微企业518户；总授信规模4.6亿元，其中小微企业3.6亿元。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设立转贷资金。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设立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转贷资金11个，总规模达18.65亿元；累计为全市中小企业提供转贷8034笔，转贷金额达404.58亿元，</w:t>
      </w:r>
      <w:r>
        <w:rPr>
          <w:rFonts w:hint="eastAsia" w:ascii="仿宋_GB2312" w:eastAsia="仿宋_GB2312"/>
          <w:sz w:val="32"/>
          <w:szCs w:val="32"/>
        </w:rPr>
        <w:t>协助企业解决资金周转困难，维护区域经济社会稳定。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三、加大政策帮扶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2017-2018年，两年累计安排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亿元的财政资金用以支持产融合作试点城市建设。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重点用于产业链融资贷款贴息、鼓励企业利用多层次资本市场、担保风险补偿、保险创新奖励、设立政策性融资担保公司等。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5"/>
        <w:textAlignment w:val="auto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　　　　　　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　　　　</w:t>
      </w:r>
      <w:r>
        <w:rPr>
          <w:rFonts w:hint="eastAsia" w:ascii="仿宋_GB2312" w:eastAsia="仿宋_GB2312"/>
          <w:sz w:val="32"/>
          <w:lang w:eastAsia="zh-CN"/>
        </w:rPr>
        <w:t>慈溪市经济和信息化局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5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</w:t>
      </w:r>
      <w:r>
        <w:rPr>
          <w:rFonts w:hint="eastAsia" w:asci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</w:rPr>
        <w:t>　　　</w:t>
      </w:r>
      <w:r>
        <w:rPr>
          <w:rFonts w:hint="eastAsia" w:ascii="仿宋_GB2312" w:eastAsia="仿宋_GB2312"/>
          <w:sz w:val="32"/>
          <w:lang w:val="en-US" w:eastAsia="zh-CN"/>
        </w:rPr>
        <w:t>2019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22</w:t>
      </w:r>
      <w:r>
        <w:rPr>
          <w:rFonts w:hint="eastAsia" w:ascii="仿宋_GB2312" w:eastAsia="仿宋_GB2312"/>
          <w:sz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firstLine="645"/>
        <w:textAlignment w:val="auto"/>
        <w:rPr>
          <w:rFonts w:hint="eastAsia" w:ascii="仿宋_GB2312" w:eastAsia="仿宋_GB2312"/>
          <w:sz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textAlignment w:val="auto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　联 系 人：</w:t>
      </w:r>
      <w:r>
        <w:rPr>
          <w:rFonts w:hint="eastAsia" w:ascii="仿宋_GB2312" w:eastAsia="仿宋_GB2312"/>
          <w:sz w:val="32"/>
          <w:lang w:eastAsia="zh-CN"/>
        </w:rPr>
        <w:t>李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lang w:eastAsia="zh-CN"/>
        </w:rPr>
        <w:t>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textAlignment w:val="auto"/>
      </w:pPr>
      <w:r>
        <w:rPr>
          <w:rFonts w:hint="eastAsia" w:ascii="仿宋_GB2312" w:eastAsia="仿宋_GB2312"/>
          <w:sz w:val="32"/>
        </w:rPr>
        <w:t>　　联系电话：</w:t>
      </w:r>
      <w:r>
        <w:rPr>
          <w:rFonts w:hint="eastAsia" w:ascii="仿宋_GB2312" w:eastAsia="仿宋_GB2312"/>
          <w:sz w:val="32"/>
          <w:lang w:val="en-US" w:eastAsia="zh-CN"/>
        </w:rPr>
        <w:t>63815237</w:t>
      </w:r>
    </w:p>
    <w:p>
      <w:pPr>
        <w:spacing w:line="560" w:lineRule="exact"/>
        <w:rPr>
          <w:rFonts w:hint="eastAsia" w:ascii="仿宋_GB2312" w:eastAsia="仿宋_GB2312"/>
          <w:sz w:val="32"/>
        </w:rPr>
      </w:pP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1725"/>
    <w:rsid w:val="0B5B097A"/>
    <w:rsid w:val="228C1725"/>
    <w:rsid w:val="45D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2019-04-19T07:16:00Z</dcterms:created>
  <dc:creator>唐见月</dc:creator>
  <cp:lastModifiedBy>唐见月</cp:lastModifiedBy>
  <dcterms:modified xsi:type="dcterms:W3CDTF">2019-04-24T07:08:06Z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