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7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慈发改函〔2020〕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7"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7"/>
        <w:spacing w:before="0" w:beforeAutospacing="0" w:after="0" w:afterAutospacing="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市发展和改革局对市十七届人大四次会议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第296号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建议</w:t>
      </w:r>
      <w:r>
        <w:rPr>
          <w:rFonts w:hint="eastAsia" w:ascii="方正小标宋简体" w:hAnsi="宋体" w:eastAsia="方正小标宋简体"/>
          <w:sz w:val="44"/>
          <w:szCs w:val="44"/>
        </w:rPr>
        <w:t>的协办意见</w:t>
      </w:r>
    </w:p>
    <w:p>
      <w:pPr>
        <w:pStyle w:val="4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市自然资源规划局：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胡云波代表在市十七届人大四次会议大会期间提出的《关于重塑慈溪老城区“记忆”提升慈溪中心城区风采的建议》（第296号）提案收悉。经研究，现就有关协办意见答复如下：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我局作为宏观经济管理部门，一直以来非常重视现代服务业发展工作，大力支持老城区发展现代服务业。一方面，积极打造</w:t>
      </w:r>
      <w:r>
        <w:rPr>
          <w:rFonts w:hint="eastAsia" w:eastAsia="仿宋_GB2312" w:asciiTheme="majorBidi" w:hAnsiTheme="majorBidi" w:cstheme="majorBidi"/>
          <w:sz w:val="32"/>
          <w:szCs w:val="32"/>
        </w:rPr>
        <w:t>中心城区</w:t>
      </w:r>
      <w:r>
        <w:rPr>
          <w:rFonts w:eastAsia="仿宋_GB2312" w:asciiTheme="majorBidi" w:hAnsiTheme="majorBidi" w:cstheme="majorBidi"/>
          <w:sz w:val="32"/>
          <w:szCs w:val="32"/>
        </w:rPr>
        <w:t>CBD</w:t>
      </w:r>
      <w:r>
        <w:rPr>
          <w:rFonts w:hint="eastAsia" w:eastAsia="仿宋_GB2312" w:asciiTheme="majorBidi" w:hAnsiTheme="majorBidi" w:cstheme="majorBidi"/>
          <w:sz w:val="32"/>
          <w:szCs w:val="32"/>
        </w:rPr>
        <w:t>现代商务中心，大力发展以银泰城、上林坊、慈甬路、三北大街等商业街区为组团的老商业街区，积极布置各类商贸设施。另一方面，在老城区积极谋划建设新兴服务业态，博洋智谷二期、保利湾底文化小镇等重点项目正在持续推进，所在街道积极推进服务业企业小升规和制造业分离发展服务业，旨在增强老城区服务业发展规模和量级，取得不错成效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胡云波代表提到的加强老城区现代服务业的重构、扶持、振兴，鼓励老城区在城市规划、招商引资、政策导向、项目安排中给予支持，加强老城区现代服务业发展的要素保障等建议，我们将结合工作实际，在下步“十四五”服务业发展规划编制和年度服务业发展要点中加以吸收和落实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特此致函。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慈溪市发展和改革局</w:t>
      </w:r>
    </w:p>
    <w:p>
      <w:pPr>
        <w:pStyle w:val="4"/>
        <w:spacing w:before="0" w:beforeAutospacing="0" w:after="0" w:afterAutospacing="0" w:line="560" w:lineRule="exact"/>
        <w:ind w:firstLine="5280" w:firstLineChars="16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2020年7月2日</w:t>
      </w:r>
    </w:p>
    <w:p>
      <w:pPr>
        <w:pStyle w:val="4"/>
        <w:spacing w:before="0" w:beforeAutospacing="0" w:after="0" w:afterAutospacing="0" w:line="560" w:lineRule="exact"/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联系人：华炬 </w:t>
      </w:r>
    </w:p>
    <w:p>
      <w:pPr>
        <w:pStyle w:val="4"/>
        <w:spacing w:before="0" w:beforeAutospacing="0" w:after="0" w:afterAutospacing="0" w:line="560" w:lineRule="exact"/>
        <w:ind w:firstLine="480" w:firstLineChars="150"/>
      </w:pPr>
      <w:r>
        <w:rPr>
          <w:rFonts w:hint="eastAsia" w:ascii="仿宋_GB2312" w:hAnsi="宋体" w:eastAsia="仿宋_GB2312"/>
          <w:sz w:val="32"/>
          <w:szCs w:val="32"/>
        </w:rPr>
        <w:t>联系电话：89284192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5AF"/>
    <w:rsid w:val="004255AF"/>
    <w:rsid w:val="00585575"/>
    <w:rsid w:val="006C6200"/>
    <w:rsid w:val="0083437E"/>
    <w:rsid w:val="00912C01"/>
    <w:rsid w:val="00BD1720"/>
    <w:rsid w:val="00C503F3"/>
    <w:rsid w:val="00C61243"/>
    <w:rsid w:val="00CB16CE"/>
    <w:rsid w:val="00F1669B"/>
    <w:rsid w:val="03E74A62"/>
    <w:rsid w:val="0A85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7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86</Words>
  <Characters>493</Characters>
  <Lines>4</Lines>
  <Paragraphs>1</Paragraphs>
  <TotalTime>57</TotalTime>
  <ScaleCrop>false</ScaleCrop>
  <LinksUpToDate>false</LinksUpToDate>
  <CharactersWithSpaces>578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2020-06-17T07:10:00Z</dcterms:created>
  <dc:creator>Windows User</dc:creator>
  <cp:lastModifiedBy>燕聚轩</cp:lastModifiedBy>
  <cp:lastPrinted>2020-07-06T07:02:43Z</cp:lastPrinted>
  <dcterms:modified xsi:type="dcterms:W3CDTF">2020-07-06T07:05:34Z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