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20"/>
        <w:rPr>
          <w:rFonts w:hint="eastAsia" w:ascii="仿宋_GB2312" w:eastAsia="仿宋_GB2312"/>
          <w:color w:val="FF0000"/>
          <w:sz w:val="32"/>
        </w:rPr>
      </w:pPr>
    </w:p>
    <w:p>
      <w:pPr>
        <w:spacing w:line="1000" w:lineRule="exact"/>
        <w:jc w:val="center"/>
        <w:rPr>
          <w:rFonts w:hint="eastAsia" w:ascii="方正小标宋简体" w:eastAsia="方正小标宋简体"/>
          <w:color w:val="FF0000"/>
          <w:w w:val="90"/>
          <w:sz w:val="72"/>
          <w:szCs w:val="72"/>
        </w:rPr>
      </w:pPr>
      <w:r>
        <w:rPr>
          <w:rFonts w:hint="eastAsia" w:ascii="方正小标宋简体" w:eastAsia="方正小标宋简体"/>
          <w:color w:val="FF0000"/>
          <w:w w:val="90"/>
          <w:sz w:val="72"/>
          <w:szCs w:val="72"/>
        </w:rPr>
        <w:t>慈溪市经济和信息化局</w:t>
      </w:r>
    </w:p>
    <w:p>
      <w:pPr>
        <w:pBdr>
          <w:bottom w:val="single" w:color="auto" w:sz="4" w:space="1"/>
        </w:pBdr>
        <w:spacing w:line="560" w:lineRule="exact"/>
        <w:rPr>
          <w:rFonts w:hint="eastAsia" w:ascii="仿宋_GB2312" w:eastAsia="仿宋_GB2312"/>
          <w:color w:val="FF0000"/>
          <w:sz w:val="32"/>
          <w:u w:val="single" w:color="FF0000"/>
        </w:rPr>
      </w:pPr>
      <w:r>
        <w:rPr>
          <w:sz w:val="32"/>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370840</wp:posOffset>
                </wp:positionV>
                <wp:extent cx="5278120" cy="0"/>
                <wp:effectExtent l="0" t="0" r="0" b="0"/>
                <wp:wrapNone/>
                <wp:docPr id="1" name="直接连接符 1"/>
                <wp:cNvGraphicFramePr/>
                <a:graphic xmlns:a="http://schemas.openxmlformats.org/drawingml/2006/main">
                  <a:graphicData uri="http://schemas.microsoft.com/office/word/2010/wordprocessingShape">
                    <wps:wsp>
                      <wps:cNvCnPr/>
                      <wps:spPr>
                        <a:xfrm>
                          <a:off x="1151255" y="2306320"/>
                          <a:ext cx="5278120"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05pt;margin-top:29.2pt;height:0pt;width:415.6pt;z-index:251658240;mso-width-relative:page;mso-height-relative:page;" filled="f" stroked="t" coordsize="21600,21600" o:gfxdata="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rXXRHVAAAABgEAAA8AAAAAAAAAAQAg&#10;AAAAIgAAAGRycy9kb3ducmV2LnhtbFBLAQIUABQAAAAIAIdO4kBr/FHk2AEAAHADAAAOAAAAAAAA&#10;AAEAIAAAACQBAABkcnMvZTJvRG9jLnhtbFBLBQYAAAAABgAGAFkBAABuBQAAAAA=&#10;">
                <v:fill on="f" focussize="0,0"/>
                <v:stroke weight="2.25pt" color="#FF0000 [3205]" miterlimit="8" joinstyle="miter"/>
                <v:imagedata o:title=""/>
                <o:lock v:ext="edit" aspectratio="f"/>
              </v:line>
            </w:pict>
          </mc:Fallback>
        </mc:AlternateContent>
      </w:r>
    </w:p>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b/>
          <w:bCs/>
          <w:color w:val="auto"/>
          <w:sz w:val="44"/>
          <w:szCs w:val="44"/>
          <w:lang w:val="en-US" w:eastAsia="zh-CN"/>
        </w:rPr>
      </w:pPr>
      <w:r>
        <w:rPr>
          <w:rFonts w:hint="eastAsia" w:ascii="方正小标宋简体" w:hAnsi="宋体" w:eastAsia="方正小标宋简体"/>
          <w:b/>
          <w:bCs/>
          <w:color w:val="auto"/>
          <w:sz w:val="44"/>
          <w:szCs w:val="44"/>
          <w:lang w:val="en-US" w:eastAsia="zh-CN"/>
        </w:rPr>
        <w:t>关于市十七届人大四次会议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b/>
          <w:bCs/>
          <w:color w:val="auto"/>
          <w:sz w:val="44"/>
          <w:szCs w:val="44"/>
          <w:lang w:eastAsia="zh-CN"/>
        </w:rPr>
      </w:pPr>
      <w:r>
        <w:rPr>
          <w:rFonts w:hint="eastAsia" w:ascii="方正小标宋简体" w:hAnsi="宋体" w:eastAsia="方正小标宋简体"/>
          <w:b/>
          <w:bCs/>
          <w:color w:val="auto"/>
          <w:sz w:val="44"/>
          <w:szCs w:val="44"/>
          <w:lang w:val="en-US" w:eastAsia="zh-CN"/>
        </w:rPr>
        <w:t>第259号建议的协办意见</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方正小标宋简体" w:eastAsia="方正小标宋简体"/>
          <w:b/>
          <w:bCs/>
          <w:color w:val="auto"/>
          <w:sz w:val="36"/>
          <w:szCs w:val="36"/>
        </w:rPr>
      </w:pPr>
    </w:p>
    <w:p>
      <w:pPr>
        <w:keepNext w:val="0"/>
        <w:keepLines w:val="0"/>
        <w:pageBreakBefore w:val="0"/>
        <w:widowControl w:val="0"/>
        <w:kinsoku/>
        <w:overflowPunct/>
        <w:topLinePunct w:val="0"/>
        <w:autoSpaceDE/>
        <w:autoSpaceDN/>
        <w:bidi w:val="0"/>
        <w:adjustRightInd/>
        <w:snapToGrid/>
        <w:spacing w:line="55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市卫生健康局：</w:t>
      </w:r>
    </w:p>
    <w:p>
      <w:pPr>
        <w:keepNext w:val="0"/>
        <w:keepLines w:val="0"/>
        <w:pageBreakBefore w:val="0"/>
        <w:widowControl w:val="0"/>
        <w:kinsoku/>
        <w:overflowPunct/>
        <w:topLinePunct w:val="0"/>
        <w:autoSpaceDE/>
        <w:autoSpaceDN/>
        <w:bidi w:val="0"/>
        <w:adjustRightInd/>
        <w:snapToGrid/>
        <w:spacing w:line="55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邹亚萍代表提出的《关于强化应急物资和人员保障，有效应对突发公共卫生事件的建议》已收悉，现提出如下协办意见：</w:t>
      </w: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年初，面对突如其来的新冠肺炎疫情，市经信局按照《关于调整慈溪市新型冠状病毒感染的肺炎疫情防控工作领导小组物资保障组的通知》（慈防发﹝2020﹞3号）文件规定，认真履职，努力保障防疫应急物资供应：</w:t>
      </w: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一、掌握应急物资供需动态，建立物资调拨机制。</w:t>
      </w:r>
      <w:r>
        <w:rPr>
          <w:rFonts w:hint="eastAsia" w:ascii="仿宋_GB2312" w:hAnsi="仿宋_GB2312" w:eastAsia="仿宋_GB2312" w:cs="仿宋_GB2312"/>
          <w:sz w:val="32"/>
          <w:szCs w:val="32"/>
          <w:lang w:val="en-US" w:eastAsia="zh-CN"/>
        </w:rPr>
        <w:t>疫情初始，一方面在全市范围内迅速开展应急药品、医疗用品、口罩等应急物资生产企业的排摸，并动态监测应急物资生产企业的人员、原材料、产能、产量、库存等要素。同时收集汇总各地各部门的应急物资需求。另一方面，迅速建立应急物资采购、调拨分配、出入库登记、资金使用及监督等制度，保障应急物资高效、科学使用。</w:t>
      </w: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二、助力企业复工复产，扩大应急物资供应产能。</w:t>
      </w:r>
      <w:r>
        <w:rPr>
          <w:rFonts w:hint="eastAsia" w:ascii="仿宋_GB2312" w:hAnsi="仿宋_GB2312" w:eastAsia="仿宋_GB2312" w:cs="仿宋_GB2312"/>
          <w:sz w:val="32"/>
          <w:szCs w:val="32"/>
          <w:lang w:val="en-US" w:eastAsia="zh-CN"/>
        </w:rPr>
        <w:t>一是协调解决应急物资企业生产困难，如多次协助宁波国度健康科技有限公司解决原材料短期问题；协调市交通局专门安排2辆专车，用于接送蓝禾医疗公司员工，解决员工上下班和防控问题；跟踪企业的复工情况，积极向企业宣传绿色通道，产品出产后及时协调市市场监管部门，第一时间赶到生产现场协助企业做好产品认证。二是引导企业科学有序扩能。如出台《关于疫情期间进一步做好我市口罩生产供应保障工作的实施意见》（慈防办〔2020〕100号），并安排300万元专项资金用于新增产能的奖励。</w:t>
      </w: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三、多渠道筹措物资来源，提高应急物资保障力度。</w:t>
      </w:r>
      <w:r>
        <w:rPr>
          <w:rFonts w:hint="eastAsia" w:ascii="仿宋_GB2312" w:hAnsi="仿宋_GB2312" w:eastAsia="仿宋_GB2312" w:cs="仿宋_GB2312"/>
          <w:sz w:val="32"/>
          <w:szCs w:val="32"/>
          <w:lang w:val="en-US" w:eastAsia="zh-CN"/>
        </w:rPr>
        <w:t>除向本地企业直接采购外，市经信局多方面挖掘物资供应来源：一是联系本地医药公司，通过医药公司协助采购，同时发动企业利用境外机构和境外客户协助采购；二是广泛发动慈商、侨胞等社会各界捐资赠物。牵头市工商联、市红十字会、海关等部门，畅通社会物资捐赠渠道，并广泛发动慈商及设有海外机构的本地企业，开展物资采购并捐赠。三是积极争取上级部门支持，争取上级调拨物资，通过上级部门争取太平鸟等转产企业的应急物资。</w:t>
      </w:r>
    </w:p>
    <w:p>
      <w:pPr>
        <w:keepNext w:val="0"/>
        <w:keepLines w:val="0"/>
        <w:pageBreakBefore w:val="0"/>
        <w:widowControl w:val="0"/>
        <w:kinsoku/>
        <w:overflowPunct/>
        <w:topLinePunct w:val="0"/>
        <w:autoSpaceDE/>
        <w:autoSpaceDN/>
        <w:bidi w:val="0"/>
        <w:adjustRightInd/>
        <w:snapToGrid/>
        <w:spacing w:line="55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四、统筹多方需求，稳定市民信心。</w:t>
      </w:r>
      <w:r>
        <w:rPr>
          <w:rFonts w:hint="eastAsia" w:ascii="仿宋_GB2312" w:hAnsi="仿宋_GB2312" w:eastAsia="仿宋_GB2312" w:cs="仿宋_GB2312"/>
          <w:sz w:val="32"/>
          <w:szCs w:val="32"/>
          <w:lang w:val="en-US" w:eastAsia="zh-CN"/>
        </w:rPr>
        <w:t>一是加大食盐供应。面对初期一些市民的屯盐现象，为防止出现哄抢、稳定市民信心，市经信局动用食盐储备，并派人动态监测超市货架，一旦不足及时补充上架。二是统筹保障多方需求。为破解市民“一罩难求”的局面，在保障一线部门供应的前提下，通过网上扫码预约，快递寄送到家的形式，向普通市民发放口罩；通过民政系统、教育系统，向困难群众、养老机构、教育机构等特殊机构发放应急物资需求。</w:t>
      </w: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新冠肺炎疫情给我市的公共卫生治理带来了极大的考验，也暴露出了一些短板，值得我们后续后续工作深思。邹亚萍代表提出的建</w:t>
      </w:r>
      <w:bookmarkStart w:id="0" w:name="_GoBack"/>
      <w:bookmarkEnd w:id="0"/>
      <w:r>
        <w:rPr>
          <w:rFonts w:hint="eastAsia" w:ascii="仿宋_GB2312" w:hAnsi="仿宋_GB2312" w:eastAsia="仿宋_GB2312" w:cs="仿宋_GB2312"/>
          <w:sz w:val="32"/>
          <w:szCs w:val="32"/>
          <w:lang w:val="en-US" w:eastAsia="zh-CN"/>
        </w:rPr>
        <w:t>议非常具有针对性和启发性，后续如需建立应急物资储备制度，市经信局将在职责范围内、在市财政资金保障的前提下，全力做好我市范围内非医疗应急物资的采购、调拨等工作，做好企业产能引导、生产协调的工作；协调市工商联、侨联、商务等部门开展境外物资捐赠和境外采购工作，努力保障全市的食盐供应；在职责范围内，配合市卫健局做好医用应急物资的供应工作。</w:t>
      </w: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w:t>
      </w:r>
      <w:r>
        <w:rPr>
          <w:rFonts w:hint="eastAsia" w:ascii="仿宋_GB2312" w:eastAsia="仿宋_GB2312"/>
          <w:sz w:val="32"/>
          <w:lang w:val="en-US" w:eastAsia="zh-CN"/>
        </w:rPr>
        <w:t>张玲玲</w:t>
      </w: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eastAsia="仿宋_GB2312"/>
          <w:sz w:val="32"/>
          <w:lang w:eastAsia="zh-CN"/>
        </w:rPr>
      </w:pPr>
      <w:r>
        <w:rPr>
          <w:rFonts w:hint="eastAsia" w:ascii="仿宋_GB2312" w:hAnsi="仿宋_GB2312" w:eastAsia="仿宋_GB2312" w:cs="仿宋_GB2312"/>
          <w:sz w:val="32"/>
          <w:szCs w:val="32"/>
          <w:lang w:val="en-US" w:eastAsia="zh-CN"/>
        </w:rPr>
        <w:t>联系电话：</w:t>
      </w:r>
      <w:r>
        <w:rPr>
          <w:rFonts w:hint="eastAsia" w:ascii="仿宋_GB2312" w:eastAsia="仿宋_GB2312"/>
          <w:sz w:val="32"/>
        </w:rPr>
        <w:t>6700192</w:t>
      </w:r>
      <w:r>
        <w:rPr>
          <w:rFonts w:hint="eastAsia" w:ascii="仿宋_GB2312" w:eastAsia="仿宋_GB2312"/>
          <w:sz w:val="32"/>
          <w:lang w:val="en-US" w:eastAsia="zh-CN"/>
        </w:rPr>
        <w:t>5</w:t>
      </w: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eastAsia="仿宋_GB2312"/>
          <w:sz w:val="32"/>
        </w:rPr>
      </w:pP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eastAsia" w:ascii="仿宋_GB2312" w:eastAsia="仿宋_GB2312"/>
          <w:sz w:val="32"/>
        </w:rPr>
      </w:pPr>
    </w:p>
    <w:p>
      <w:pPr>
        <w:keepNext w:val="0"/>
        <w:keepLines w:val="0"/>
        <w:pageBreakBefore w:val="0"/>
        <w:widowControl w:val="0"/>
        <w:kinsoku/>
        <w:overflowPunct/>
        <w:topLinePunct w:val="0"/>
        <w:autoSpaceDE/>
        <w:autoSpaceDN/>
        <w:bidi w:val="0"/>
        <w:adjustRightInd/>
        <w:snapToGrid/>
        <w:spacing w:line="552" w:lineRule="exact"/>
        <w:ind w:firstLine="640" w:firstLineChars="200"/>
        <w:textAlignment w:val="auto"/>
        <w:rPr>
          <w:rFonts w:hint="default" w:ascii="仿宋_GB2312" w:eastAsia="仿宋_GB2312"/>
          <w:sz w:val="32"/>
          <w:lang w:val="en-US" w:eastAsia="zh-CN"/>
        </w:rPr>
      </w:pPr>
    </w:p>
    <w:p>
      <w:pPr>
        <w:keepNext w:val="0"/>
        <w:keepLines w:val="0"/>
        <w:pageBreakBefore w:val="0"/>
        <w:widowControl w:val="0"/>
        <w:kinsoku/>
        <w:wordWrap w:val="0"/>
        <w:overflowPunct/>
        <w:topLinePunct w:val="0"/>
        <w:autoSpaceDE/>
        <w:autoSpaceDN/>
        <w:bidi w:val="0"/>
        <w:adjustRightInd/>
        <w:snapToGrid/>
        <w:spacing w:line="552" w:lineRule="exact"/>
        <w:ind w:firstLine="4800" w:firstLine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慈溪市经济和信息化局 </w:t>
      </w:r>
    </w:p>
    <w:p>
      <w:pPr>
        <w:keepNext w:val="0"/>
        <w:keepLines w:val="0"/>
        <w:pageBreakBefore w:val="0"/>
        <w:widowControl w:val="0"/>
        <w:kinsoku/>
        <w:wordWrap w:val="0"/>
        <w:overflowPunct/>
        <w:topLinePunct w:val="0"/>
        <w:autoSpaceDE/>
        <w:autoSpaceDN/>
        <w:bidi w:val="0"/>
        <w:adjustRightInd/>
        <w:snapToGrid/>
        <w:spacing w:line="552"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2020年7月10日    </w:t>
      </w:r>
    </w:p>
    <w:p>
      <w:pPr>
        <w:keepNext w:val="0"/>
        <w:keepLines w:val="0"/>
        <w:pageBreakBefore w:val="0"/>
        <w:widowControl w:val="0"/>
        <w:kinsoku/>
        <w:overflowPunct/>
        <w:topLinePunct w:val="0"/>
        <w:autoSpaceDE/>
        <w:autoSpaceDN/>
        <w:bidi w:val="0"/>
        <w:adjustRightInd/>
        <w:snapToGrid/>
        <w:spacing w:line="55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552"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C1725"/>
    <w:rsid w:val="0D9F0F32"/>
    <w:rsid w:val="1A4E66E7"/>
    <w:rsid w:val="228C1725"/>
    <w:rsid w:val="2DE72E15"/>
    <w:rsid w:val="47813EF3"/>
    <w:rsid w:val="484653A0"/>
    <w:rsid w:val="5C8F6507"/>
    <w:rsid w:val="782F2690"/>
    <w:rsid w:val="7A197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52" w:lineRule="exact"/>
      <w:ind w:firstLine="0" w:firstLineChars="0"/>
      <w:jc w:val="center"/>
      <w:outlineLvl w:val="0"/>
    </w:pPr>
    <w:rPr>
      <w:rFonts w:ascii="方正小标宋简体" w:hAnsi="方正小标宋简体" w:eastAsia="方正小标宋简体" w:cs="方正小标宋简体"/>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2019-04-19T07:16:00Z</dcterms:created>
  <dc:creator>唐见月</dc:creator>
  <cp:lastModifiedBy>王 77</cp:lastModifiedBy>
  <dcterms:modified xsi:type="dcterms:W3CDTF">2020-07-10T07:18:54Z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