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ascii="黑体" w:hAnsi="黑体" w:eastAsia="黑体" w:cs="黑体"/>
          <w:sz w:val="44"/>
          <w:szCs w:val="44"/>
        </w:rPr>
      </w:pPr>
      <w:r>
        <w:rPr>
          <w:rFonts w:hint="eastAsia" w:ascii="方正小标宋简体" w:hAnsi="宋体" w:eastAsia="方正小标宋简体"/>
          <w:spacing w:val="-20"/>
          <w:sz w:val="44"/>
          <w:szCs w:val="44"/>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1188720</wp:posOffset>
                </wp:positionV>
                <wp:extent cx="5880100" cy="8255"/>
                <wp:effectExtent l="0" t="13970" r="6350" b="15875"/>
                <wp:wrapNone/>
                <wp:docPr id="1" name="直接连接符 1"/>
                <wp:cNvGraphicFramePr/>
                <a:graphic xmlns:a="http://schemas.openxmlformats.org/drawingml/2006/main">
                  <a:graphicData uri="http://schemas.microsoft.com/office/word/2010/wordprocessingShape">
                    <wps:wsp>
                      <wps:cNvCnPr/>
                      <wps:spPr>
                        <a:xfrm>
                          <a:off x="0" y="0"/>
                          <a:ext cx="5880100" cy="825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25pt;margin-top:93.6pt;height:0.65pt;width:463pt;z-index:251660288;mso-width-relative:page;mso-height-relative:page;" filled="f" stroked="t" coordsize="21600,21600" o:gfxdata="UEsDBAoAAAAAAIdO4kAAAAAAAAAAAAAAAAAEAAAAZHJzL1BLAwQUAAAACACHTuJAStBJWtgAAAAL&#10;AQAADwAAAGRycy9kb3ducmV2LnhtbE2PzU7DMBCE70i8g7VI3Fo7kVrSEKcCBDckRPjp1U2WOGq8&#10;jmI3Td+e7QmOO/NpdqbYzq4XE46h86QhWSoQSLVvOmo1fH68LDIQIRpqTO8JNZwxwLa8vipM3vgT&#10;veNUxVZwCIXcaLAxDrmUobboTFj6AYm9Hz86E/kcW9mM5sThrpepUmvpTEf8wZoBnyzWh+roNMzf&#10;2YPdvcbHZ//1Zg/zrnJTetb69iZR9yAizvEPhkt9rg4ld9r7IzVB9BoWyXrFKBvZXQqCiY3asLK/&#10;KNkKZFnI/xvKX1BLAwQUAAAACACHTuJAo9/gg/wBAAD2AwAADgAAAGRycy9lMm9Eb2MueG1srVNN&#10;rtMwEN4jcQfLe5q2UqGKmr7FK2WDoBJwgKntJJb8J4/btJfgAkjsYMWSPbfhvWMwTkJ5PDZdkIUz&#10;9nz+PN/n8ermZA07qojau4rPJlPOlBNeatdU/MP77bMlZ5jASTDeqYqfFfKb9dMnqy6Uau5bb6SK&#10;jEgcll2oeJtSKIsCRass4MQH5ShZ+2gh0TQ2hYzQEbs1xXw6fV50PsoQvVCItLoZknxkjNcQ+rrW&#10;Qm28OFjl0sAalYFEkrDVAfm6r7aulUhv6xpVYqbipDT1Ix1C8T6PxXoFZRMhtFqMJcA1JTzSZEE7&#10;OvRCtYEE7BD1P1RWi+jR12kivC0GIb0jpGI2feTNuxaC6rWQ1RgupuP/oxVvjrvItKRO4MyBpQu/&#10;+/T958cv9z8+03j37SubZZO6gCVhb90ujjMMu5gVn+po85+0sFNv7PlirDolJmhxsVySOvJcUG45&#10;XywyZfFnb4iYXilvWQ4qbrTLsqGE42tMA/Q3JC8bx7qKz5eLFwuiBGrCmi6fQhtICLqm34zeaLnV&#10;xuQtGJv9rYnsCNQI2+2UvrGGv2D5lA1gO+D6VIZB2SqQL51k6RzIIkcvg+carJKcGUUPKUc9MoE2&#10;1yBJvnGZWvVtOgrNPg/O5mjv5Zmu5xCibloypr+KImeoHXoHx9bN/fZwTvHD57r+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rQSVrYAAAACwEAAA8AAAAAAAAAAQAgAAAAIgAAAGRycy9kb3ducmV2&#10;LnhtbFBLAQIUABQAAAAIAIdO4kCj3+CD/AEAAPYDAAAOAAAAAAAAAAEAIAAAACcBAABkcnMvZTJv&#10;RG9jLnhtbFBLBQYAAAAABgAGAFkBAACVBQAAAAA=&#10;">
                <v:fill on="f" focussize="0,0"/>
                <v:stroke weight="2.25pt" color="#FF0000" joinstyle="round"/>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-701675</wp:posOffset>
                </wp:positionH>
                <wp:positionV relativeFrom="paragraph">
                  <wp:posOffset>252095</wp:posOffset>
                </wp:positionV>
                <wp:extent cx="7000240" cy="870585"/>
                <wp:effectExtent l="0" t="0" r="10160" b="5715"/>
                <wp:wrapSquare wrapText="bothSides"/>
                <wp:docPr id="13" name="文本框 13"/>
                <wp:cNvGraphicFramePr/>
                <a:graphic xmlns:a="http://schemas.openxmlformats.org/drawingml/2006/main">
                  <a:graphicData uri="http://schemas.microsoft.com/office/word/2010/wordprocessingShape">
                    <wps:wsp>
                      <wps:cNvSpPr txBox="1"/>
                      <wps:spPr>
                        <a:xfrm>
                          <a:off x="0" y="0"/>
                          <a:ext cx="7000240" cy="870585"/>
                        </a:xfrm>
                        <a:prstGeom prst="rect">
                          <a:avLst/>
                        </a:prstGeom>
                        <a:solidFill>
                          <a:srgbClr val="FFFFFF"/>
                        </a:solidFill>
                        <a:ln>
                          <a:noFill/>
                        </a:ln>
                        <a:effectLst/>
                      </wps:spPr>
                      <wps:txbx>
                        <w:txbxContent>
                          <w:p>
                            <w:pPr>
                              <w:spacing w:line="1000" w:lineRule="exact"/>
                              <w:jc w:val="center"/>
                              <w:rPr>
                                <w:rFonts w:hint="eastAsia" w:ascii="仿宋_GB2312" w:eastAsia="仿宋_GB2312"/>
                                <w:sz w:val="28"/>
                                <w:szCs w:val="22"/>
                              </w:rPr>
                            </w:pPr>
                            <w:r>
                              <w:rPr>
                                <w:rFonts w:hint="eastAsia" w:ascii="方正小标宋简体" w:eastAsia="方正小标宋简体"/>
                                <w:color w:val="FF0000"/>
                                <w:spacing w:val="-20"/>
                                <w:sz w:val="72"/>
                                <w:szCs w:val="22"/>
                                <w:lang w:eastAsia="zh-CN"/>
                              </w:rPr>
                              <w:t>宁波</w:t>
                            </w:r>
                            <w:r>
                              <w:rPr>
                                <w:rFonts w:hint="eastAsia" w:ascii="方正小标宋简体" w:eastAsia="方正小标宋简体"/>
                                <w:color w:val="FF0000"/>
                                <w:spacing w:val="-20"/>
                                <w:sz w:val="72"/>
                                <w:szCs w:val="22"/>
                              </w:rPr>
                              <w:t>慈溪</w:t>
                            </w:r>
                            <w:r>
                              <w:rPr>
                                <w:rFonts w:hint="eastAsia" w:ascii="方正小标宋简体" w:eastAsia="方正小标宋简体"/>
                                <w:color w:val="FF0000"/>
                                <w:spacing w:val="-20"/>
                                <w:sz w:val="72"/>
                                <w:szCs w:val="22"/>
                                <w:lang w:eastAsia="zh-CN"/>
                              </w:rPr>
                              <w:t>文旅集团有限公司</w:t>
                            </w:r>
                            <w:r>
                              <w:rPr>
                                <w:rFonts w:hint="eastAsia" w:ascii="方正小标宋简体" w:eastAsia="方正小标宋简体"/>
                                <w:color w:val="FF0000"/>
                                <w:spacing w:val="-20"/>
                                <w:sz w:val="72"/>
                                <w:szCs w:val="22"/>
                              </w:rPr>
                              <w:t>文件</w:t>
                            </w:r>
                          </w:p>
                          <w:p>
                            <w:pPr>
                              <w:rPr>
                                <w:rFonts w:hint="eastAsia"/>
                              </w:rPr>
                            </w:pPr>
                          </w:p>
                        </w:txbxContent>
                      </wps:txbx>
                      <wps:bodyPr upright="1"/>
                    </wps:wsp>
                  </a:graphicData>
                </a:graphic>
              </wp:anchor>
            </w:drawing>
          </mc:Choice>
          <mc:Fallback>
            <w:pict>
              <v:shape id="_x0000_s1026" o:spid="_x0000_s1026" o:spt="202" type="#_x0000_t202" style="position:absolute;left:0pt;margin-left:-55.25pt;margin-top:19.85pt;height:68.55pt;width:551.2pt;mso-wrap-distance-bottom:0pt;mso-wrap-distance-left:9pt;mso-wrap-distance-right:9pt;mso-wrap-distance-top:0pt;z-index:251659264;mso-width-relative:page;mso-height-relative:page;" fillcolor="#FFFFFF" filled="t" stroked="f" coordsize="21600,21600" o:gfxdata="UEsDBAoAAAAAAIdO4kAAAAAAAAAAAAAAAAAEAAAAZHJzL1BLAwQUAAAACACHTuJASFNbs9kAAAAL&#10;AQAADwAAAGRycy9kb3ducmV2LnhtbE2PQU7DMBBF90jcwZpKbFBrG2hSp3EqgQRi29IDTGI3iYjH&#10;Uew27e0xK1iO/tP/b8rd1Q3sYqfQe9IgVwKYpcabnloNx6/35QZYiEgGB09Ww80G2FX3dyUWxs+0&#10;t5dDbFkqoVCghi7GseA8NJ11GFZ+tJSyk58cxnROLTcTzqncDfxJiIw77CktdDjat84234ez03D6&#10;nB/Xaq4/4jHfv2Sv2Oe1v2n9sJBiCyzaa/yD4Vc/qUOVnGp/JhPYoGEppVgnVsOzyoElQimpgNUJ&#10;zbMN8Krk/3+ofgBQSwMEFAAAAAgAh07iQKxSlhfFAQAAhwMAAA4AAABkcnMvZTJvRG9jLnhtbK1T&#10;wY7TMBC9I/EPlu802cKyVdR0JajKBQHSwge4jpNYsj3W2G3SH4A/4MSFO9/V72DsZMuyXPZADsl4&#10;Zvxm3pvJ+na0hh0VBg2u5leLkjPlJDTadTX/8nn3YsVZiMI1woBTNT+pwG83z5+tB1+pJfRgGoWM&#10;QFyoBl/zPkZfFUWQvbIiLMArR8EW0IpIR+yKBsVA6NYUy7J8XQyAjUeQKgTybqcgnxHxKYDQtlqq&#10;LciDVS5OqKiMiEQp9NoHvsndtq2S8WPbBhWZqTkxjflNRcjep3exWYuqQ+F7LecWxFNaeMTJCu2o&#10;6AVqK6JgB9T/QFktEQK0cSHBFhORrAixuCofaXPXC68yF5I6+Ivo4f/Byg/HT8h0Q5vwkjMnLE38&#10;/P3b+cev88+vjHwk0OBDRXl3njLj+AZGSr73B3Im3mOLNn2JEaM4yXu6yKvGyCQ5b8qyXL6ikKTY&#10;6qa8Xl0nmOLPbY8hvlNgWTJqjjS+rKo4vg9xSr1PScUCGN3stDH5gN3+rUF2FDTqXX5m9L/SjEvJ&#10;DtK1CXHyqLwsc5nEeGKWrDjux1mGPTQnUuHgUXc9dZh1KFISzSdTmXcpLcDDM9kP/5/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hTW7PZAAAACwEAAA8AAAAAAAAAAQAgAAAAIgAAAGRycy9kb3du&#10;cmV2LnhtbFBLAQIUABQAAAAIAIdO4kCsUpYXxQEAAIcDAAAOAAAAAAAAAAEAIAAAACgBAABkcnMv&#10;ZTJvRG9jLnhtbFBLBQYAAAAABgAGAFkBAABfBQAAAAA=&#10;">
                <v:fill on="t" focussize="0,0"/>
                <v:stroke on="f"/>
                <v:imagedata o:title=""/>
                <o:lock v:ext="edit" aspectratio="f"/>
                <v:textbox>
                  <w:txbxContent>
                    <w:p>
                      <w:pPr>
                        <w:spacing w:line="1000" w:lineRule="exact"/>
                        <w:jc w:val="center"/>
                        <w:rPr>
                          <w:rFonts w:hint="eastAsia" w:ascii="仿宋_GB2312" w:eastAsia="仿宋_GB2312"/>
                          <w:sz w:val="28"/>
                          <w:szCs w:val="22"/>
                        </w:rPr>
                      </w:pPr>
                      <w:r>
                        <w:rPr>
                          <w:rFonts w:hint="eastAsia" w:ascii="方正小标宋简体" w:eastAsia="方正小标宋简体"/>
                          <w:color w:val="FF0000"/>
                          <w:spacing w:val="-20"/>
                          <w:sz w:val="72"/>
                          <w:szCs w:val="22"/>
                          <w:lang w:eastAsia="zh-CN"/>
                        </w:rPr>
                        <w:t>宁波</w:t>
                      </w:r>
                      <w:r>
                        <w:rPr>
                          <w:rFonts w:hint="eastAsia" w:ascii="方正小标宋简体" w:eastAsia="方正小标宋简体"/>
                          <w:color w:val="FF0000"/>
                          <w:spacing w:val="-20"/>
                          <w:sz w:val="72"/>
                          <w:szCs w:val="22"/>
                        </w:rPr>
                        <w:t>慈溪</w:t>
                      </w:r>
                      <w:r>
                        <w:rPr>
                          <w:rFonts w:hint="eastAsia" w:ascii="方正小标宋简体" w:eastAsia="方正小标宋简体"/>
                          <w:color w:val="FF0000"/>
                          <w:spacing w:val="-20"/>
                          <w:sz w:val="72"/>
                          <w:szCs w:val="22"/>
                          <w:lang w:eastAsia="zh-CN"/>
                        </w:rPr>
                        <w:t>文旅集团有限公司</w:t>
                      </w:r>
                      <w:r>
                        <w:rPr>
                          <w:rFonts w:hint="eastAsia" w:ascii="方正小标宋简体" w:eastAsia="方正小标宋简体"/>
                          <w:color w:val="FF0000"/>
                          <w:spacing w:val="-20"/>
                          <w:sz w:val="72"/>
                          <w:szCs w:val="22"/>
                        </w:rPr>
                        <w:t>文件</w:t>
                      </w:r>
                    </w:p>
                    <w:p>
                      <w:pPr>
                        <w:rPr>
                          <w:rFonts w:hint="eastAsia"/>
                        </w:rPr>
                      </w:pPr>
                    </w:p>
                  </w:txbxContent>
                </v:textbox>
                <w10:wrap type="square"/>
              </v:shape>
            </w:pict>
          </mc:Fallback>
        </mc:AlternateContent>
      </w:r>
    </w:p>
    <w:p>
      <w:pPr>
        <w:rPr>
          <w:rFonts w:hint="eastAsia"/>
        </w:rPr>
      </w:pPr>
    </w:p>
    <w:p>
      <w:pPr>
        <w:pStyle w:val="6"/>
        <w:spacing w:before="0" w:beforeAutospacing="0" w:after="0" w:afterAutospacing="0" w:line="560" w:lineRule="exact"/>
        <w:jc w:val="center"/>
        <w:rPr>
          <w:rFonts w:hint="eastAsia" w:ascii="黑体" w:hAnsi="黑体" w:eastAsia="黑体" w:cs="黑体"/>
          <w:sz w:val="44"/>
          <w:szCs w:val="44"/>
        </w:rPr>
      </w:pPr>
      <w:r>
        <w:rPr>
          <w:rFonts w:hint="eastAsia" w:ascii="黑体" w:hAnsi="黑体" w:eastAsia="黑体" w:cs="黑体"/>
          <w:sz w:val="44"/>
          <w:szCs w:val="44"/>
        </w:rPr>
        <w:t>关于市十</w:t>
      </w:r>
      <w:r>
        <w:rPr>
          <w:rFonts w:hint="eastAsia" w:ascii="黑体" w:hAnsi="黑体" w:eastAsia="黑体" w:cs="黑体"/>
          <w:sz w:val="44"/>
          <w:szCs w:val="44"/>
          <w:lang w:val="en-US" w:eastAsia="zh-CN"/>
        </w:rPr>
        <w:t>八</w:t>
      </w:r>
      <w:r>
        <w:rPr>
          <w:rFonts w:hint="eastAsia" w:ascii="黑体" w:hAnsi="黑体" w:eastAsia="黑体" w:cs="黑体"/>
          <w:sz w:val="44"/>
          <w:szCs w:val="44"/>
        </w:rPr>
        <w:t>届</w:t>
      </w:r>
      <w:r>
        <w:rPr>
          <w:rFonts w:hint="eastAsia" w:ascii="黑体" w:hAnsi="黑体" w:eastAsia="黑体" w:cs="黑体"/>
          <w:sz w:val="44"/>
          <w:szCs w:val="44"/>
          <w:lang w:val="en-US" w:eastAsia="zh-CN"/>
        </w:rPr>
        <w:t>人大</w:t>
      </w:r>
      <w:r>
        <w:rPr>
          <w:rFonts w:hint="eastAsia" w:ascii="黑体" w:hAnsi="黑体" w:eastAsia="黑体" w:cs="黑体"/>
          <w:sz w:val="44"/>
          <w:szCs w:val="44"/>
        </w:rPr>
        <w:t>第</w:t>
      </w:r>
      <w:r>
        <w:rPr>
          <w:rFonts w:hint="eastAsia" w:ascii="黑体" w:hAnsi="黑体" w:eastAsia="黑体" w:cs="黑体"/>
          <w:sz w:val="44"/>
          <w:szCs w:val="44"/>
          <w:lang w:eastAsia="zh-CN"/>
        </w:rPr>
        <w:t>二</w:t>
      </w:r>
      <w:r>
        <w:rPr>
          <w:rFonts w:hint="eastAsia" w:ascii="黑体" w:hAnsi="黑体" w:eastAsia="黑体" w:cs="黑体"/>
          <w:sz w:val="44"/>
          <w:szCs w:val="44"/>
        </w:rPr>
        <w:t>次会议</w:t>
      </w:r>
    </w:p>
    <w:p>
      <w:pPr>
        <w:pStyle w:val="6"/>
        <w:spacing w:before="0" w:beforeAutospacing="0" w:after="0" w:afterAutospacing="0" w:line="560" w:lineRule="exact"/>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第</w:t>
      </w:r>
      <w:r>
        <w:rPr>
          <w:rFonts w:hint="eastAsia" w:ascii="黑体" w:hAnsi="黑体" w:eastAsia="黑体" w:cs="黑体"/>
          <w:sz w:val="44"/>
          <w:szCs w:val="44"/>
          <w:lang w:val="en-US" w:eastAsia="zh-CN"/>
        </w:rPr>
        <w:t>340</w:t>
      </w:r>
      <w:r>
        <w:rPr>
          <w:rFonts w:hint="eastAsia" w:ascii="黑体" w:hAnsi="黑体" w:eastAsia="黑体" w:cs="黑体"/>
          <w:sz w:val="44"/>
          <w:szCs w:val="44"/>
        </w:rPr>
        <w:t>号</w:t>
      </w:r>
      <w:r>
        <w:rPr>
          <w:rFonts w:hint="eastAsia" w:ascii="黑体" w:hAnsi="黑体" w:eastAsia="黑体" w:cs="黑体"/>
          <w:sz w:val="44"/>
          <w:szCs w:val="44"/>
          <w:lang w:eastAsia="zh-CN"/>
        </w:rPr>
        <w:t>议案</w:t>
      </w:r>
      <w:r>
        <w:rPr>
          <w:rFonts w:hint="eastAsia" w:ascii="黑体" w:hAnsi="黑体" w:eastAsia="黑体" w:cs="黑体"/>
          <w:sz w:val="44"/>
          <w:szCs w:val="44"/>
        </w:rPr>
        <w:t>的</w:t>
      </w:r>
      <w:r>
        <w:rPr>
          <w:rFonts w:hint="eastAsia" w:ascii="黑体" w:hAnsi="黑体" w:eastAsia="黑体" w:cs="黑体"/>
          <w:sz w:val="44"/>
          <w:szCs w:val="44"/>
          <w:lang w:eastAsia="zh-CN"/>
        </w:rPr>
        <w:t>协办意见</w:t>
      </w:r>
    </w:p>
    <w:p>
      <w:bookmarkStart w:id="0" w:name="_GoBack"/>
      <w:bookmarkEnd w:id="0"/>
    </w:p>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rPr>
        <w:t>市</w:t>
      </w:r>
      <w:r>
        <w:rPr>
          <w:rFonts w:hint="eastAsia" w:ascii="仿宋_GB2312" w:hAnsi="仿宋_GB2312" w:eastAsia="仿宋_GB2312" w:cs="仿宋_GB2312"/>
          <w:i w:val="0"/>
          <w:iCs w:val="0"/>
          <w:caps w:val="0"/>
          <w:color w:val="000000"/>
          <w:spacing w:val="0"/>
          <w:sz w:val="32"/>
          <w:szCs w:val="32"/>
          <w:shd w:val="clear" w:fill="FFFFFF"/>
          <w:lang w:val="en-US" w:eastAsia="zh-CN"/>
        </w:rPr>
        <w:t>文广旅体局</w:t>
      </w:r>
      <w:r>
        <w:rPr>
          <w:rFonts w:hint="eastAsia" w:ascii="仿宋_GB2312" w:hAnsi="仿宋_GB2312" w:eastAsia="仿宋_GB2312" w:cs="仿宋_GB2312"/>
          <w:i w:val="0"/>
          <w:iCs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000000"/>
          <w:spacing w:val="0"/>
          <w:sz w:val="32"/>
          <w:szCs w:val="32"/>
          <w:shd w:val="clear" w:fill="FFFFFF"/>
          <w:lang w:eastAsia="zh-CN"/>
        </w:rPr>
        <w:t>市十</w:t>
      </w:r>
      <w:r>
        <w:rPr>
          <w:rFonts w:hint="eastAsia" w:ascii="仿宋_GB2312" w:hAnsi="仿宋_GB2312" w:eastAsia="仿宋_GB2312" w:cs="仿宋_GB2312"/>
          <w:i w:val="0"/>
          <w:iCs w:val="0"/>
          <w:caps w:val="0"/>
          <w:color w:val="000000"/>
          <w:spacing w:val="0"/>
          <w:sz w:val="32"/>
          <w:szCs w:val="32"/>
          <w:shd w:val="clear" w:fill="FFFFFF"/>
          <w:lang w:val="en-US" w:eastAsia="zh-CN"/>
        </w:rPr>
        <w:t>八</w:t>
      </w:r>
      <w:r>
        <w:rPr>
          <w:rFonts w:hint="eastAsia" w:ascii="仿宋_GB2312" w:hAnsi="仿宋_GB2312" w:eastAsia="仿宋_GB2312" w:cs="仿宋_GB2312"/>
          <w:i w:val="0"/>
          <w:iCs w:val="0"/>
          <w:caps w:val="0"/>
          <w:color w:val="000000"/>
          <w:spacing w:val="0"/>
          <w:sz w:val="32"/>
          <w:szCs w:val="32"/>
          <w:shd w:val="clear" w:fill="FFFFFF"/>
          <w:lang w:eastAsia="zh-CN"/>
        </w:rPr>
        <w:t>届</w:t>
      </w:r>
      <w:r>
        <w:rPr>
          <w:rFonts w:hint="eastAsia" w:ascii="仿宋_GB2312" w:hAnsi="仿宋_GB2312" w:eastAsia="仿宋_GB2312" w:cs="仿宋_GB2312"/>
          <w:i w:val="0"/>
          <w:iCs w:val="0"/>
          <w:caps w:val="0"/>
          <w:color w:val="000000"/>
          <w:spacing w:val="0"/>
          <w:sz w:val="32"/>
          <w:szCs w:val="32"/>
          <w:shd w:val="clear" w:fill="FFFFFF"/>
          <w:lang w:val="en-US" w:eastAsia="zh-CN"/>
        </w:rPr>
        <w:t>人大</w:t>
      </w:r>
      <w:r>
        <w:rPr>
          <w:rFonts w:hint="eastAsia" w:ascii="仿宋_GB2312" w:hAnsi="仿宋_GB2312" w:eastAsia="仿宋_GB2312" w:cs="仿宋_GB2312"/>
          <w:i w:val="0"/>
          <w:iCs w:val="0"/>
          <w:caps w:val="0"/>
          <w:color w:val="000000"/>
          <w:spacing w:val="0"/>
          <w:sz w:val="32"/>
          <w:szCs w:val="32"/>
          <w:shd w:val="clear" w:fill="FFFFFF"/>
          <w:lang w:eastAsia="zh-CN"/>
        </w:rPr>
        <w:t>第二次会议提出的</w:t>
      </w:r>
      <w:r>
        <w:rPr>
          <w:rFonts w:hint="eastAsia" w:ascii="仿宋_GB2312" w:hAnsi="仿宋_GB2312" w:eastAsia="仿宋_GB2312" w:cs="仿宋_GB2312"/>
          <w:i w:val="0"/>
          <w:iCs w:val="0"/>
          <w:caps w:val="0"/>
          <w:color w:val="000000"/>
          <w:spacing w:val="0"/>
          <w:sz w:val="32"/>
          <w:szCs w:val="32"/>
          <w:shd w:val="clear" w:fill="FFFFFF"/>
          <w:lang w:val="en-US" w:eastAsia="zh-CN"/>
        </w:rPr>
        <w:t>340</w:t>
      </w:r>
      <w:r>
        <w:rPr>
          <w:rFonts w:hint="eastAsia" w:ascii="仿宋_GB2312" w:hAnsi="仿宋_GB2312" w:eastAsia="仿宋_GB2312" w:cs="仿宋_GB2312"/>
          <w:i w:val="0"/>
          <w:iCs w:val="0"/>
          <w:caps w:val="0"/>
          <w:color w:val="000000"/>
          <w:spacing w:val="0"/>
          <w:sz w:val="32"/>
          <w:szCs w:val="32"/>
          <w:shd w:val="clear" w:fill="FFFFFF"/>
          <w:lang w:eastAsia="zh-CN"/>
        </w:rPr>
        <w:t>号议案《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关于加快全域城镇有机更新高质量建设“宁波中央公园”主门户的建议</w:t>
      </w:r>
      <w:r>
        <w:rPr>
          <w:rFonts w:hint="eastAsia" w:ascii="仿宋_GB2312" w:hAnsi="仿宋_GB2312" w:eastAsia="仿宋_GB2312" w:cs="仿宋_GB2312"/>
          <w:i w:val="0"/>
          <w:iCs w:val="0"/>
          <w:caps w:val="0"/>
          <w:color w:val="000000"/>
          <w:spacing w:val="0"/>
          <w:sz w:val="32"/>
          <w:szCs w:val="32"/>
          <w:shd w:val="clear" w:fill="FFFFFF"/>
          <w:lang w:eastAsia="zh-CN"/>
        </w:rPr>
        <w:t>》，集团结合自身职能，</w:t>
      </w:r>
      <w:r>
        <w:rPr>
          <w:rFonts w:hint="eastAsia" w:ascii="仿宋_GB2312" w:hAnsi="仿宋_GB2312" w:eastAsia="仿宋_GB2312" w:cs="仿宋_GB2312"/>
          <w:sz w:val="32"/>
          <w:szCs w:val="32"/>
          <w:lang w:eastAsia="zh-CN"/>
        </w:rPr>
        <w:t>现提出如下协办意见：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翠屏山中央公园慈溪片区作为规划区内生态资源最好，文化元素最多，发展潜力最大的区域，该片区的规划建设将对全面提升城市品质魅力和发展能级，对加快高质量建设共富共美现代化新慈溪具有重要意义。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去年以来，慈溪文旅集团以翠屏山大景区建设为契机，从顶层设计入手，促进文旅融合发展。</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一是开展翠屏山北部重点文旅项目谋划。</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围绕国土空间规划、鸣鹤古镇历史文化名镇保护规划编制，鸣上风景区总规修编等有利契机，去年9月编制完成《慈溪市鸣鹤古镇旅游发展战略策划》，策划了一批有特色、有亮点的旅游项目，将项目土地等资源要素纳入规划，保障未来发展需要。</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二是拓展鸣鹤古镇景区范围。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开工建设环白洋湖连村道路，谋划设计连村道路风景提升工程，将鸣鹤古镇与白洋湖旅游资源紧密串联，拓宽发展空间，促进农文旅融合发展。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下一步，慈溪文旅集团将根据市委市政府决策部署，积极做好以下工作：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是持续深化国企改革，整合文旅资源，重构业务板块，创新投融资机制，主动融入新发展格局，更好地发挥推动翠屏山中央公园文旅产业高质量发展和重大项目高水平建设的战略引导及公共服务作用，彰显慈溪文旅国企担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二是以“国药”为主题串联鸣鹤古镇开发，加快推进主题酒店招引、中街老宅立面改造、文创雅集及中医药康养业态引进、云龙中学研学基地招商，设想谋划中医药会址落地。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三是贯通环白洋湖通道，启动环湖景观工程建设，加快建设国潮水街、森林度假酒店，对湖口窑厂、双湖窑厂保留原貌改造提升，引进水上运动项目，承办运动赛事。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四是整合上林湖越窑青瓷传承园、遗址公园、博物馆，以“听瓷、阅瓷、赏瓷、研瓷、探瓷、淘瓷”，打造秘色瓷朝圣地、瓷文化传播高地，开发沉浸式体验项目，凸显青瓷文化，擦亮“越窑青瓷”金名片。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五是谋划接收岗墩文旅项目开发，</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深挖杨梅衍生文化、民俗文化，</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精准定位</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岗墩民宿，</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开展民宿装修设计和运营招商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。重新梳理周边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资源</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谋划</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打造星空营地、生物谷、体验区等引流景观，做好岗墩大文旅文章，助力乡村振兴、共富共美。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最后，请转达我们对</w:t>
      </w:r>
      <w:r>
        <w:rPr>
          <w:rFonts w:hint="eastAsia" w:ascii="仿宋_GB2312" w:hAnsi="仿宋_GB2312" w:eastAsia="仿宋_GB2312" w:cs="仿宋_GB2312"/>
          <w:sz w:val="32"/>
          <w:szCs w:val="32"/>
          <w:lang w:val="en-US" w:eastAsia="zh-CN"/>
        </w:rPr>
        <w:t>杨利登</w:t>
      </w:r>
      <w:r>
        <w:rPr>
          <w:rFonts w:hint="eastAsia" w:ascii="仿宋_GB2312" w:hAnsi="仿宋_GB2312" w:eastAsia="仿宋_GB2312" w:cs="仿宋_GB2312"/>
          <w:sz w:val="32"/>
          <w:szCs w:val="32"/>
          <w:lang w:eastAsia="zh-CN"/>
        </w:rPr>
        <w:t>委员关心支持我市</w:t>
      </w:r>
      <w:r>
        <w:rPr>
          <w:rFonts w:hint="eastAsia" w:ascii="仿宋_GB2312" w:hAnsi="仿宋_GB2312" w:eastAsia="仿宋_GB2312" w:cs="仿宋_GB2312"/>
          <w:sz w:val="32"/>
          <w:szCs w:val="32"/>
          <w:lang w:val="en-US" w:eastAsia="zh-CN"/>
        </w:rPr>
        <w:t>文化旅游</w:t>
      </w:r>
      <w:r>
        <w:rPr>
          <w:rFonts w:hint="eastAsia" w:ascii="仿宋_GB2312" w:hAnsi="仿宋_GB2312" w:eastAsia="仿宋_GB2312" w:cs="仿宋_GB2312"/>
          <w:sz w:val="32"/>
          <w:szCs w:val="32"/>
          <w:lang w:eastAsia="zh-CN"/>
        </w:rPr>
        <w:t>事业的谢意！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4160" w:firstLineChars="1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宁波慈溪文旅集团有限公司</w:t>
      </w:r>
    </w:p>
    <w:p>
      <w:pPr>
        <w:keepNext w:val="0"/>
        <w:keepLines w:val="0"/>
        <w:pageBreakBefore w:val="0"/>
        <w:widowControl w:val="0"/>
        <w:kinsoku/>
        <w:wordWrap/>
        <w:overflowPunct/>
        <w:topLinePunct w:val="0"/>
        <w:autoSpaceDE/>
        <w:autoSpaceDN/>
        <w:bidi w:val="0"/>
        <w:adjustRightInd/>
        <w:snapToGrid/>
        <w:spacing w:line="62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2023年4月28日</w:t>
      </w:r>
    </w:p>
    <w:p>
      <w:pPr>
        <w:pStyle w:val="7"/>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联系人：</w:t>
      </w:r>
      <w:r>
        <w:rPr>
          <w:rFonts w:hint="eastAsia" w:ascii="仿宋_GB2312" w:hAnsi="仿宋_GB2312" w:eastAsia="仿宋_GB2312" w:cs="仿宋_GB2312"/>
          <w:sz w:val="32"/>
          <w:szCs w:val="32"/>
          <w:lang w:val="en-US" w:eastAsia="zh-CN"/>
        </w:rPr>
        <w:t>陈杰波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 63081872</w:t>
      </w:r>
    </w:p>
    <w:p>
      <w:pPr>
        <w:pStyle w:val="3"/>
        <w:rPr>
          <w:rFonts w:hint="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jc w:val="right"/>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fldChar w:fldCharType="begin"/>
    </w:r>
    <w:r>
      <w:rPr>
        <w:rStyle w:val="10"/>
        <w:rFonts w:ascii="仿宋" w:hAnsi="仿宋" w:eastAsia="仿宋"/>
        <w:sz w:val="28"/>
        <w:szCs w:val="28"/>
      </w:rPr>
      <w:instrText xml:space="preserve"> PAGE </w:instrText>
    </w:r>
    <w:r>
      <w:rPr>
        <w:rFonts w:ascii="仿宋" w:hAnsi="仿宋" w:eastAsia="仿宋"/>
        <w:sz w:val="28"/>
        <w:szCs w:val="28"/>
      </w:rPr>
      <w:fldChar w:fldCharType="separate"/>
    </w:r>
    <w:r>
      <w:rPr>
        <w:rStyle w:val="10"/>
        <w:rFonts w:ascii="仿宋" w:hAnsi="仿宋" w:eastAsia="仿宋"/>
        <w:sz w:val="28"/>
        <w:szCs w:val="28"/>
      </w:rPr>
      <w:t>3</w:t>
    </w:r>
    <w:r>
      <w:rPr>
        <w:rFonts w:ascii="仿宋" w:hAnsi="仿宋" w:eastAsia="仿宋"/>
        <w:sz w:val="28"/>
        <w:szCs w:val="28"/>
      </w:rPr>
      <w:fldChar w:fldCharType="end"/>
    </w:r>
    <w:r>
      <w:rPr>
        <w:rFonts w:hint="eastAsia" w:ascii="仿宋" w:hAnsi="仿宋" w:eastAsia="仿宋"/>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mNDE0NDRlYzYyYjhkYzYxYjYzYzM5MjllMjMzMGIifQ=="/>
  </w:docVars>
  <w:rsids>
    <w:rsidRoot w:val="3C363F40"/>
    <w:rsid w:val="03447627"/>
    <w:rsid w:val="3C363F40"/>
    <w:rsid w:val="458D2F02"/>
    <w:rsid w:val="5FE97A30"/>
    <w:rsid w:val="62EB3D6B"/>
    <w:rsid w:val="6F364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rPr>
  </w:style>
  <w:style w:type="paragraph" w:styleId="3">
    <w:name w:val="Body Text Indent"/>
    <w:basedOn w:val="1"/>
    <w:next w:val="4"/>
    <w:qFormat/>
    <w:uiPriority w:val="0"/>
    <w:pPr>
      <w:ind w:firstLine="615"/>
    </w:pPr>
    <w:rPr>
      <w:rFonts w:ascii="仿宋_GB2312" w:hAnsi="华文仿宋" w:eastAsia="仿宋_GB2312"/>
      <w:sz w:val="32"/>
      <w:szCs w:val="24"/>
    </w:rPr>
  </w:style>
  <w:style w:type="paragraph" w:styleId="4">
    <w:name w:val="envelope return"/>
    <w:basedOn w:val="1"/>
    <w:qFormat/>
    <w:uiPriority w:val="0"/>
    <w:rPr>
      <w:rFonts w:ascii="Arial" w:hAnsi="Arial"/>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0"/>
    </w:rPr>
  </w:style>
  <w:style w:type="paragraph" w:styleId="7">
    <w:name w:val="Body Text First Indent 2"/>
    <w:basedOn w:val="3"/>
    <w:next w:val="3"/>
    <w:qFormat/>
    <w:uiPriority w:val="0"/>
    <w:pPr>
      <w:spacing w:after="120"/>
      <w:ind w:left="420" w:leftChars="200" w:firstLine="420" w:firstLineChars="200"/>
    </w:pPr>
    <w:rPr>
      <w:rFonts w:ascii="Calibri" w:hAnsi="Calibri" w:eastAsia="宋体"/>
      <w:sz w:val="21"/>
      <w:szCs w:val="22"/>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976</Words>
  <Characters>991</Characters>
  <Lines>0</Lines>
  <Paragraphs>0</Paragraphs>
  <TotalTime>5</TotalTime>
  <ScaleCrop>false</ScaleCrop>
  <LinksUpToDate>false</LinksUpToDate>
  <CharactersWithSpaces>992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2023-04-23T01:34:00Z</dcterms:created>
  <dc:creator>WPS_1490166386</dc:creator>
  <cp:lastModifiedBy>WPS_1490166386</cp:lastModifiedBy>
  <dcterms:modified xsi:type="dcterms:W3CDTF">2023-04-30T01:27:02Z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CB40855684664E7B9A93E6E5601ECAD2_11</vt:lpwstr>
  </property>
</Properties>
</file>