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eastAsia="仿宋_GB2312"/>
          <w:sz w:val="32"/>
        </w:rPr>
      </w:pPr>
    </w:p>
    <w:p>
      <w:pPr>
        <w:spacing w:line="300" w:lineRule="exact"/>
        <w:rPr>
          <w:rFonts w:ascii="仿宋_GB2312" w:eastAsia="仿宋_GB2312"/>
          <w:sz w:val="32"/>
        </w:rPr>
      </w:pPr>
    </w:p>
    <w:p>
      <w:pPr>
        <w:spacing w:line="820" w:lineRule="exact"/>
        <w:jc w:val="center"/>
        <w:rPr>
          <w:rFonts w:ascii="方正小标宋简体" w:eastAsia="方正小标宋简体"/>
          <w:bCs/>
          <w:color w:val="FF0000"/>
          <w:spacing w:val="20"/>
          <w:w w:val="90"/>
          <w:sz w:val="72"/>
          <w:szCs w:val="72"/>
        </w:rPr>
      </w:pPr>
      <w:r>
        <w:rPr>
          <w:rFonts w:hint="eastAsia" w:ascii="方正小标宋简体" w:hAnsi="宋体" w:eastAsia="方正小标宋简体" w:cs="宋体"/>
          <w:bCs/>
          <w:color w:val="FF0000"/>
          <w:spacing w:val="20"/>
          <w:w w:val="90"/>
          <w:sz w:val="72"/>
          <w:szCs w:val="72"/>
        </w:rPr>
        <w:t>慈溪市经济和信息化局文件</w:t>
      </w:r>
    </w:p>
    <w:p>
      <w:pPr>
        <w:spacing w:line="500" w:lineRule="exact"/>
        <w:rPr>
          <w:rFonts w:ascii="仿宋_GB2312" w:eastAsia="仿宋_GB2312"/>
          <w:sz w:val="32"/>
          <w:szCs w:val="32"/>
        </w:rPr>
      </w:pPr>
    </w:p>
    <w:p>
      <w:pPr>
        <w:spacing w:beforeLines="50" w:line="500" w:lineRule="exact"/>
        <w:ind w:right="345" w:rightChars="172"/>
        <w:rPr>
          <w:rFonts w:ascii="仿宋_GB2312" w:eastAsia="仿宋_GB2312"/>
          <w:spacing w:val="-20"/>
          <w:sz w:val="32"/>
        </w:rPr>
      </w:pPr>
      <w:r>
        <w:rPr>
          <w:rFonts w:ascii="方正小标宋简体" w:eastAsia="方正小标宋简体"/>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493395</wp:posOffset>
                </wp:positionV>
                <wp:extent cx="5715000" cy="0"/>
                <wp:effectExtent l="0" t="13970" r="0" b="1651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38.85pt;height:0pt;width:450pt;z-index:251659264;mso-width-relative:page;mso-height-relative:page;" filled="f" stroked="t" coordsize="21600,21600" o:gfxdata="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quVXW&#10;AAAACQEAAA8AAAAAAAAAAQAgAAAAIgAAAGRycy9kb3ducmV2LnhtbFBLAQIUABQAAAAIAIdO4kAw&#10;opRK6QEAANwDAAAOAAAAAAAAAAEAIAAAACUBAABkcnMvZTJvRG9jLnhtbFBLBQYAAAAABgAGAFkB&#10;AACABQAAAAA=&#10;">
                <v:fill on="f" focussize="0,0"/>
                <v:stroke weight="2.25pt" color="#FF0000" joinstyle="round"/>
                <v:imagedata o:title=""/>
                <o:lock v:ext="edit" aspectratio="f"/>
              </v:line>
            </w:pict>
          </mc:Fallback>
        </mc:AlternateContent>
      </w:r>
      <w:r>
        <w:rPr>
          <w:rFonts w:hint="eastAsia" w:ascii="仿宋_GB2312" w:eastAsia="仿宋_GB2312"/>
          <w:sz w:val="32"/>
        </w:rPr>
        <w:t>慈经信建</w:t>
      </w:r>
      <w:r>
        <w:rPr>
          <w:rFonts w:hint="eastAsia" w:ascii="仿宋_GB2312" w:eastAsia="仿宋_GB2312"/>
          <w:sz w:val="32"/>
          <w:lang w:eastAsia="zh-CN"/>
        </w:rPr>
        <w:t>协</w:t>
      </w:r>
      <w:r>
        <w:rPr>
          <w:rFonts w:hint="eastAsia" w:ascii="仿宋_GB2312" w:eastAsia="仿宋_GB2312"/>
          <w:sz w:val="32"/>
        </w:rPr>
        <w:t>〔20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3</w:t>
      </w:r>
      <w:r>
        <w:rPr>
          <w:rFonts w:hint="eastAsia" w:ascii="仿宋_GB2312" w:eastAsia="仿宋_GB2312"/>
          <w:sz w:val="32"/>
        </w:rPr>
        <w:t>号</w:t>
      </w:r>
      <w:r>
        <w:rPr>
          <w:rFonts w:hint="eastAsia" w:ascii="仿宋_GB2312" w:eastAsia="仿宋_GB2312"/>
          <w:spacing w:val="-20"/>
          <w:sz w:val="32"/>
        </w:rPr>
        <w:t xml:space="preserve">                  </w:t>
      </w:r>
      <w:r>
        <w:rPr>
          <w:rFonts w:hint="eastAsia" w:ascii="仿宋_GB2312" w:eastAsia="仿宋_GB2312"/>
          <w:spacing w:val="-20"/>
          <w:sz w:val="32"/>
          <w:lang w:val="en-US" w:eastAsia="zh-CN"/>
        </w:rPr>
        <w:t xml:space="preserve">       </w:t>
      </w:r>
    </w:p>
    <w:p>
      <w:pPr>
        <w:pStyle w:val="10"/>
        <w:spacing w:before="0" w:beforeAutospacing="0" w:after="0" w:afterAutospacing="0" w:line="520" w:lineRule="exact"/>
        <w:ind w:firstLine="700"/>
        <w:jc w:val="center"/>
        <w:rPr>
          <w:rFonts w:ascii="方正小标宋简体" w:hAnsi="宋体" w:eastAsia="方正小标宋简体"/>
          <w:sz w:val="36"/>
          <w:szCs w:val="36"/>
        </w:rPr>
      </w:pPr>
    </w:p>
    <w:p>
      <w:pPr>
        <w:pStyle w:val="10"/>
        <w:spacing w:before="0" w:beforeAutospacing="0" w:after="0" w:afterAutospacing="0" w:line="520" w:lineRule="exact"/>
        <w:ind w:firstLine="0" w:firstLineChars="0"/>
        <w:jc w:val="both"/>
        <w:rPr>
          <w:rFonts w:hint="eastAsia" w:ascii="方正小标宋简体" w:hAnsi="宋体" w:eastAsia="方正小标宋简体"/>
          <w:b/>
          <w:sz w:val="44"/>
          <w:szCs w:val="44"/>
        </w:rPr>
      </w:pPr>
      <w:r>
        <w:rPr>
          <w:rFonts w:hint="eastAsia" w:ascii="方正小标宋简体" w:hAnsi="宋体" w:eastAsia="方正小标宋简体"/>
          <w:b/>
          <w:sz w:val="44"/>
          <w:szCs w:val="44"/>
        </w:rPr>
        <w:t>对市十</w:t>
      </w:r>
      <w:r>
        <w:rPr>
          <w:rFonts w:hint="eastAsia" w:ascii="方正小标宋简体" w:hAnsi="宋体" w:eastAsia="方正小标宋简体"/>
          <w:b/>
          <w:sz w:val="44"/>
          <w:szCs w:val="44"/>
          <w:lang w:eastAsia="zh-CN"/>
        </w:rPr>
        <w:t>八</w:t>
      </w:r>
      <w:r>
        <w:rPr>
          <w:rFonts w:hint="eastAsia" w:ascii="方正小标宋简体" w:hAnsi="宋体" w:eastAsia="方正小标宋简体"/>
          <w:b/>
          <w:sz w:val="44"/>
          <w:szCs w:val="44"/>
        </w:rPr>
        <w:t>届人大</w:t>
      </w:r>
      <w:r>
        <w:rPr>
          <w:rFonts w:hint="eastAsia" w:ascii="方正小标宋简体" w:hAnsi="宋体" w:eastAsia="方正小标宋简体"/>
          <w:b/>
          <w:sz w:val="44"/>
          <w:szCs w:val="44"/>
          <w:lang w:eastAsia="zh-CN"/>
        </w:rPr>
        <w:t>二</w:t>
      </w:r>
      <w:r>
        <w:rPr>
          <w:rFonts w:hint="eastAsia" w:ascii="方正小标宋简体" w:hAnsi="宋体" w:eastAsia="方正小标宋简体"/>
          <w:b/>
          <w:sz w:val="44"/>
          <w:szCs w:val="44"/>
        </w:rPr>
        <w:t>次会议第</w:t>
      </w:r>
      <w:r>
        <w:rPr>
          <w:rFonts w:hint="eastAsia" w:ascii="方正小标宋简体" w:hAnsi="宋体" w:eastAsia="方正小标宋简体"/>
          <w:b/>
          <w:sz w:val="44"/>
          <w:szCs w:val="44"/>
          <w:lang w:val="en-US" w:eastAsia="zh-CN"/>
        </w:rPr>
        <w:t>220</w:t>
      </w:r>
      <w:r>
        <w:rPr>
          <w:rFonts w:hint="eastAsia" w:ascii="方正小标宋简体" w:hAnsi="宋体" w:eastAsia="方正小标宋简体"/>
          <w:b/>
          <w:sz w:val="44"/>
          <w:szCs w:val="44"/>
        </w:rPr>
        <w:t>号建议的答复</w:t>
      </w:r>
    </w:p>
    <w:p>
      <w:pPr>
        <w:keepNext w:val="0"/>
        <w:keepLines w:val="0"/>
        <w:pageBreakBefore w:val="0"/>
        <w:kinsoku/>
        <w:wordWrap/>
        <w:overflowPunct/>
        <w:topLinePunct w:val="0"/>
        <w:autoSpaceDE/>
        <w:autoSpaceDN/>
        <w:bidi w:val="0"/>
        <w:adjustRightInd/>
        <w:snapToGrid/>
        <w:spacing w:line="552" w:lineRule="exact"/>
        <w:textAlignment w:val="auto"/>
        <w:rPr>
          <w:rFonts w:hint="eastAsia" w:ascii="仿宋_GB2312" w:hAnsi="Times New Roman" w:eastAsia="仿宋_GB2312" w:cs="Times New Roman"/>
          <w:sz w:val="32"/>
        </w:r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0" w:firstLineChars="0"/>
        <w:textAlignment w:val="auto"/>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市科技局：</w:t>
      </w:r>
    </w:p>
    <w:p>
      <w:pPr>
        <w:pStyle w:val="10"/>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周军枢代表提出的《关于提升民营企业核心竞争力的建议》已收悉，现结合我局工作职责，将有关协办意见答复如下：</w:t>
      </w:r>
    </w:p>
    <w:p>
      <w:pPr>
        <w:pStyle w:val="10"/>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Times New Roman" w:eastAsia="仿宋_GB2312" w:cs="Times New Roman"/>
          <w:kern w:val="2"/>
          <w:sz w:val="32"/>
          <w:szCs w:val="22"/>
          <w:lang w:val="en-US" w:eastAsia="zh-CN" w:bidi="ar-SA"/>
        </w:rPr>
      </w:pPr>
      <w:r>
        <w:rPr>
          <w:rFonts w:hint="eastAsia" w:ascii="黑体" w:hAnsi="黑体" w:eastAsia="黑体" w:cs="黑体"/>
          <w:kern w:val="2"/>
          <w:sz w:val="32"/>
          <w:szCs w:val="22"/>
          <w:lang w:val="en-US" w:eastAsia="zh-CN" w:bidi="ar-SA"/>
        </w:rPr>
        <w:t>一、强化政策解构分析机制。</w:t>
      </w:r>
      <w:r>
        <w:rPr>
          <w:rFonts w:hint="eastAsia" w:ascii="仿宋_GB2312" w:hAnsi="Times New Roman" w:eastAsia="仿宋_GB2312" w:cs="Times New Roman"/>
          <w:kern w:val="2"/>
          <w:sz w:val="32"/>
          <w:szCs w:val="22"/>
          <w:lang w:val="en-US" w:eastAsia="zh-CN" w:bidi="ar-SA"/>
        </w:rPr>
        <w:t>针对企业“读不懂”政策困扰，强化复杂政策简单化、专业术语通俗化，基本实现“综合政策单元化、单元政策格式化、格式政策数字化”，全力搭建“智慧政策库”，通过数据共享，做好国家、省、市、县四级出台一揽子纾困政策解构分析工作，共完成解构入库产业高质量发展、创业创新、人事人才、减负降本、金融支持等专题政策27个，制成专题政策卡205项。</w:t>
      </w:r>
    </w:p>
    <w:p>
      <w:pPr>
        <w:pStyle w:val="10"/>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Times New Roman" w:eastAsia="仿宋_GB2312" w:cs="Times New Roman"/>
          <w:kern w:val="2"/>
          <w:sz w:val="32"/>
          <w:szCs w:val="22"/>
          <w:lang w:val="en-US" w:eastAsia="zh-CN" w:bidi="ar-SA"/>
        </w:rPr>
      </w:pPr>
      <w:r>
        <w:rPr>
          <w:rFonts w:hint="eastAsia" w:ascii="黑体" w:hAnsi="黑体" w:eastAsia="黑体" w:cs="黑体"/>
          <w:kern w:val="2"/>
          <w:sz w:val="32"/>
          <w:szCs w:val="22"/>
          <w:lang w:val="en-US" w:eastAsia="zh-CN" w:bidi="ar-SA"/>
        </w:rPr>
        <w:t>二、优化全面推送机制。</w:t>
      </w:r>
      <w:r>
        <w:rPr>
          <w:rFonts w:hint="eastAsia" w:ascii="仿宋_GB2312" w:hAnsi="Times New Roman" w:eastAsia="仿宋_GB2312" w:cs="Times New Roman"/>
          <w:kern w:val="2"/>
          <w:sz w:val="32"/>
          <w:szCs w:val="22"/>
          <w:lang w:val="en-US" w:eastAsia="zh-CN" w:bidi="ar-SA"/>
        </w:rPr>
        <w:t>坚持把政策宣传作为“服务企业”的重要内容，全面启动“政策大宣传、协同宣传”体系，政府层面线上依托市企业发展服务平台（8718慈溪平台）“政策云”、“政策电子书”、“企业码”政策直播间、20个帮企大厅微信群、点对点短信等各类涉企交流平台；线下开展“讲政策、送服务”双月系列活动、助企专员结合“企业暖心、我们同行”专项三服务活动精准送政策进企业等，累计通过短信、微信、直播、巡讲会等“线上+线下”多载体多形式宣传“减负降本、助企纾困”等专题政策3万余条次。积极动员社会服务力量共同参与政策协同宣传，发动我市宁波级中小企业公共服务平台、各类行业协会、经管人才培训机构等社会服务力量，共同铺面大宣传，进一步提高各类惠企政策知晓度，帮助企业“应知尽知、应享尽享”。持续开展常态化、特色化“线上+线下”惠企政策宣讲、帮诊、申报辅导等“一起益企”企服公益活动，共开展线上线下活动90余场。</w:t>
      </w:r>
    </w:p>
    <w:p>
      <w:pPr>
        <w:pStyle w:val="10"/>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Times New Roman" w:eastAsia="仿宋_GB2312" w:cs="Times New Roman"/>
          <w:kern w:val="2"/>
          <w:sz w:val="32"/>
          <w:szCs w:val="22"/>
          <w:lang w:val="en-US" w:eastAsia="zh-CN" w:bidi="ar-SA"/>
        </w:rPr>
      </w:pPr>
      <w:r>
        <w:rPr>
          <w:rFonts w:hint="eastAsia" w:ascii="黑体" w:hAnsi="黑体" w:eastAsia="黑体" w:cs="黑体"/>
          <w:kern w:val="2"/>
          <w:sz w:val="32"/>
          <w:szCs w:val="22"/>
          <w:lang w:val="en-US" w:eastAsia="zh-CN" w:bidi="ar-SA"/>
        </w:rPr>
        <w:t>三、迭代专项服务，诉求办结全闭环。</w:t>
      </w:r>
      <w:r>
        <w:rPr>
          <w:rFonts w:hint="eastAsia" w:ascii="仿宋_GB2312" w:hAnsi="Times New Roman" w:eastAsia="仿宋_GB2312" w:cs="Times New Roman"/>
          <w:kern w:val="2"/>
          <w:sz w:val="32"/>
          <w:szCs w:val="22"/>
          <w:lang w:val="en-US" w:eastAsia="zh-CN" w:bidi="ar-SA"/>
        </w:rPr>
        <w:t>围绕“保稳、促进、提质”三大主线，牵头实施全市“企业暖心、我们同行”专项助企“三服务”活动，建立新一轮“市领导、市级部门班子成员、中层干部、业务骨干、镇街干部”精准结对助企服务员队伍，分层分级、上下联动开展“专员助企”服务行动；重点围绕防疫指导、政策帮享、诉求帮解、安全生产等内容，多轮集中密集下沉，赴企业、走车间、送服务，有力助推各级党委政府一系列稳住经济大盘的政策措施落到实处，帮助企业解决实际困难问题，稳住企业发展信心，全力营造政企同心、共克时艰浓厚氛围。分层分类推动诉求办结全闭环，根据企情来源及内容不同，分级分层分类，动态批量建立完善问题清单，按照“首问负责、即问即办、协调转办”原则，抓好企业各类诉求问题“快分、快转、快办”，确保办结“时、实”双效；市镇两级助企专员严格落实“135”分类解决闭环机制要求，落实“助企专员（前台首办）+跨部门（中台联办）+制高办（后台督办）”全流程闭环办理模式。专项活动实施以来累计走访联系服务企业8000余家次，共受理办结企业“政策咨询、融资服务、厂房购租”等诉求问题5000余个。同时，全力依托省企业码、宁波企业综合服务大平台、慈溪市企业发展服务平台和各地各部门企服窗口平台、优质市场化服务机构等对全市中小微企业实现服务全扩面。</w:t>
      </w:r>
    </w:p>
    <w:p>
      <w:pPr>
        <w:pStyle w:val="10"/>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Times New Roman" w:eastAsia="仿宋_GB2312" w:cs="Times New Roman"/>
          <w:kern w:val="2"/>
          <w:sz w:val="32"/>
          <w:szCs w:val="22"/>
          <w:lang w:val="en-US" w:eastAsia="zh-CN" w:bidi="ar-SA"/>
        </w:rPr>
      </w:pPr>
      <w:r>
        <w:rPr>
          <w:rFonts w:hint="eastAsia" w:ascii="仿宋_GB2312" w:hAnsi="Times New Roman" w:eastAsia="仿宋_GB2312" w:cs="Times New Roman"/>
          <w:kern w:val="2"/>
          <w:sz w:val="32"/>
          <w:szCs w:val="22"/>
          <w:lang w:val="en-US" w:eastAsia="zh-CN" w:bidi="ar-SA"/>
        </w:rPr>
        <w:t>最后，请转达我们对周军枢代表关心支持提升民营企业核心竞争力相关工作的谢意。</w:t>
      </w:r>
    </w:p>
    <w:p>
      <w:pPr>
        <w:pStyle w:val="10"/>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0" w:firstLineChars="0"/>
        <w:textAlignment w:val="auto"/>
        <w:rPr>
          <w:rFonts w:hint="eastAsia" w:ascii="仿宋_GB2312" w:hAnsi="Times New Roman" w:eastAsia="仿宋_GB2312" w:cs="Times New Roman"/>
          <w:kern w:val="2"/>
          <w:sz w:val="32"/>
          <w:szCs w:val="22"/>
          <w:lang w:val="en-US" w:eastAsia="zh-CN" w:bidi="ar-SA"/>
        </w:r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Times New Roman" w:eastAsia="仿宋_GB2312" w:cs="Times New Roman"/>
          <w:kern w:val="2"/>
          <w:sz w:val="32"/>
          <w:szCs w:val="22"/>
          <w:lang w:val="en-US" w:eastAsia="zh-CN" w:bidi="ar-SA"/>
        </w:rPr>
      </w:pPr>
    </w:p>
    <w:p>
      <w:pPr>
        <w:pStyle w:val="10"/>
        <w:keepNext w:val="0"/>
        <w:keepLines w:val="0"/>
        <w:pageBreakBefore w:val="0"/>
        <w:kinsoku/>
        <w:wordWrap/>
        <w:overflowPunct/>
        <w:topLinePunct w:val="0"/>
        <w:autoSpaceDE/>
        <w:autoSpaceDN/>
        <w:bidi w:val="0"/>
        <w:adjustRightInd/>
        <w:snapToGrid/>
        <w:spacing w:before="0" w:beforeAutospacing="0" w:after="0" w:afterAutospacing="0" w:line="552" w:lineRule="exact"/>
        <w:ind w:left="0" w:leftChars="0" w:firstLine="622" w:firstLineChars="200"/>
        <w:textAlignment w:val="auto"/>
        <w:rPr>
          <w:rFonts w:hint="eastAsia" w:ascii="仿宋_GB2312" w:hAnsi="Times New Roman" w:eastAsia="仿宋_GB2312" w:cs="Times New Roman"/>
          <w:kern w:val="2"/>
          <w:sz w:val="32"/>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                    　　　  慈溪市经济和信息化局</w:t>
      </w:r>
    </w:p>
    <w:p>
      <w:pPr>
        <w:keepNext w:val="0"/>
        <w:keepLines w:val="0"/>
        <w:pageBreakBefore w:val="0"/>
        <w:widowControl w:val="0"/>
        <w:kinsoku/>
        <w:wordWrap/>
        <w:overflowPunct/>
        <w:topLinePunct w:val="0"/>
        <w:autoSpaceDE/>
        <w:autoSpaceDN/>
        <w:bidi w:val="0"/>
        <w:adjustRightInd/>
        <w:snapToGrid/>
        <w:spacing w:line="552" w:lineRule="exact"/>
        <w:ind w:left="0" w:firstLine="5287" w:firstLineChars="17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2023年4月25日</w:t>
      </w:r>
    </w:p>
    <w:p>
      <w:pPr>
        <w:keepNext w:val="0"/>
        <w:keepLines w:val="0"/>
        <w:pageBreakBefore w:val="0"/>
        <w:widowControl w:val="0"/>
        <w:kinsoku/>
        <w:wordWrap/>
        <w:overflowPunct/>
        <w:topLinePunct w:val="0"/>
        <w:autoSpaceDE/>
        <w:autoSpaceDN/>
        <w:bidi w:val="0"/>
        <w:adjustRightInd/>
        <w:snapToGrid/>
        <w:spacing w:line="552" w:lineRule="exact"/>
        <w:ind w:left="0" w:firstLine="5287" w:firstLineChars="1700"/>
        <w:jc w:val="left"/>
        <w:textAlignment w:val="auto"/>
        <w:rPr>
          <w:rFonts w:hint="eastAsia" w:ascii="仿宋_GB2312" w:hAnsi="Times New Roman"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left="0" w:firstLine="5287" w:firstLineChars="1700"/>
        <w:jc w:val="left"/>
        <w:textAlignment w:val="auto"/>
        <w:rPr>
          <w:rFonts w:hint="eastAsia" w:ascii="仿宋_GB2312" w:hAnsi="Times New Roman" w:eastAsia="仿宋_GB2312" w:cs="Times New Roman"/>
          <w:sz w:val="32"/>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联 系 人：胡超           </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default" w:ascii="仿宋_GB2312" w:hAnsi="仿宋" w:eastAsia="仿宋_GB2312"/>
          <w:sz w:val="32"/>
          <w:szCs w:val="32"/>
          <w:lang w:val="en-US"/>
        </w:rPr>
      </w:pPr>
      <w:r>
        <w:rPr>
          <w:rFonts w:hint="eastAsia" w:ascii="仿宋_GB2312" w:hAnsi="Times New Roman" w:eastAsia="仿宋_GB2312" w:cs="Times New Roman"/>
          <w:sz w:val="32"/>
          <w:lang w:val="en-US" w:eastAsia="zh-CN"/>
        </w:rPr>
        <w:t>联系电话：67001959</w:t>
      </w:r>
      <w:bookmarkStart w:id="0" w:name="_GoBack"/>
      <w:bookmarkEnd w:id="0"/>
    </w:p>
    <w:sectPr>
      <w:footerReference r:id="rId3" w:type="default"/>
      <w:footerReference r:id="rId4" w:type="even"/>
      <w:pgSz w:w="11906" w:h="16838"/>
      <w:pgMar w:top="2098" w:right="1474" w:bottom="1985" w:left="1588" w:header="1021" w:footer="1588" w:gutter="0"/>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8"/>
      <w:docPartObj>
        <w:docPartGallery w:val="autotext"/>
      </w:docPartObj>
    </w:sdtPr>
    <w:sdtContent>
      <w:p>
        <w:pPr>
          <w:pStyle w:val="8"/>
          <w:jc w:val="right"/>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9"/>
      <w:docPartObj>
        <w:docPartGallery w:val="autotext"/>
      </w:docPartObj>
    </w:sdtPr>
    <w:sdtContent>
      <w:p>
        <w:pPr>
          <w:pStyle w:val="8"/>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0"/>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NGViOWY5ZmJlMjJkMTUxMGQzOWZlYmE3Y2JmOTMifQ=="/>
  </w:docVars>
  <w:rsids>
    <w:rsidRoot w:val="00D2540B"/>
    <w:rsid w:val="0000136D"/>
    <w:rsid w:val="00007C36"/>
    <w:rsid w:val="00011F41"/>
    <w:rsid w:val="00020A62"/>
    <w:rsid w:val="00052347"/>
    <w:rsid w:val="00086743"/>
    <w:rsid w:val="000A24D4"/>
    <w:rsid w:val="000A57CA"/>
    <w:rsid w:val="000B1895"/>
    <w:rsid w:val="000F2DE4"/>
    <w:rsid w:val="000F4013"/>
    <w:rsid w:val="00103667"/>
    <w:rsid w:val="00120AB3"/>
    <w:rsid w:val="00161E59"/>
    <w:rsid w:val="00164F40"/>
    <w:rsid w:val="001848BD"/>
    <w:rsid w:val="00186D8F"/>
    <w:rsid w:val="001C0457"/>
    <w:rsid w:val="001D1BFA"/>
    <w:rsid w:val="00210D4D"/>
    <w:rsid w:val="00213E6A"/>
    <w:rsid w:val="0021662E"/>
    <w:rsid w:val="0025768D"/>
    <w:rsid w:val="00262519"/>
    <w:rsid w:val="002671FE"/>
    <w:rsid w:val="00275FFF"/>
    <w:rsid w:val="002B4E94"/>
    <w:rsid w:val="002B728E"/>
    <w:rsid w:val="002D0E0A"/>
    <w:rsid w:val="002E1822"/>
    <w:rsid w:val="00301AB6"/>
    <w:rsid w:val="003162E0"/>
    <w:rsid w:val="0038643B"/>
    <w:rsid w:val="00394705"/>
    <w:rsid w:val="00397AE6"/>
    <w:rsid w:val="003A590E"/>
    <w:rsid w:val="003B0AE2"/>
    <w:rsid w:val="003B1674"/>
    <w:rsid w:val="003B4BCF"/>
    <w:rsid w:val="003C6160"/>
    <w:rsid w:val="003D6331"/>
    <w:rsid w:val="004100AB"/>
    <w:rsid w:val="0041543A"/>
    <w:rsid w:val="00417309"/>
    <w:rsid w:val="00425D72"/>
    <w:rsid w:val="00442421"/>
    <w:rsid w:val="004450E9"/>
    <w:rsid w:val="00472AB0"/>
    <w:rsid w:val="00480EC9"/>
    <w:rsid w:val="00487D91"/>
    <w:rsid w:val="004952E6"/>
    <w:rsid w:val="00495EB2"/>
    <w:rsid w:val="004C2F52"/>
    <w:rsid w:val="004C365F"/>
    <w:rsid w:val="004E1F40"/>
    <w:rsid w:val="004E341D"/>
    <w:rsid w:val="004E7602"/>
    <w:rsid w:val="004F718F"/>
    <w:rsid w:val="005560EF"/>
    <w:rsid w:val="00576EE1"/>
    <w:rsid w:val="00577CF9"/>
    <w:rsid w:val="005923FE"/>
    <w:rsid w:val="005A1710"/>
    <w:rsid w:val="005C36CB"/>
    <w:rsid w:val="005C5065"/>
    <w:rsid w:val="005D2BF9"/>
    <w:rsid w:val="005D63C1"/>
    <w:rsid w:val="005F39B9"/>
    <w:rsid w:val="006507ED"/>
    <w:rsid w:val="00653EA7"/>
    <w:rsid w:val="006573C8"/>
    <w:rsid w:val="00686FE5"/>
    <w:rsid w:val="006A303A"/>
    <w:rsid w:val="006B2358"/>
    <w:rsid w:val="006B7A76"/>
    <w:rsid w:val="006C4BC2"/>
    <w:rsid w:val="006E267C"/>
    <w:rsid w:val="006F2692"/>
    <w:rsid w:val="00700971"/>
    <w:rsid w:val="007668A1"/>
    <w:rsid w:val="00770D74"/>
    <w:rsid w:val="00786FCE"/>
    <w:rsid w:val="00795E41"/>
    <w:rsid w:val="007A0F85"/>
    <w:rsid w:val="007A2798"/>
    <w:rsid w:val="007A2E12"/>
    <w:rsid w:val="007E0C76"/>
    <w:rsid w:val="007F1B4A"/>
    <w:rsid w:val="007F4CD3"/>
    <w:rsid w:val="00817D6A"/>
    <w:rsid w:val="008466CF"/>
    <w:rsid w:val="00855098"/>
    <w:rsid w:val="008553F2"/>
    <w:rsid w:val="008652BD"/>
    <w:rsid w:val="00866F23"/>
    <w:rsid w:val="00876FCD"/>
    <w:rsid w:val="008907D0"/>
    <w:rsid w:val="008975F6"/>
    <w:rsid w:val="008A44E0"/>
    <w:rsid w:val="008A6015"/>
    <w:rsid w:val="008B0704"/>
    <w:rsid w:val="008B1C9D"/>
    <w:rsid w:val="008B6E23"/>
    <w:rsid w:val="008F09EE"/>
    <w:rsid w:val="00900545"/>
    <w:rsid w:val="00931DBB"/>
    <w:rsid w:val="00947553"/>
    <w:rsid w:val="0095557E"/>
    <w:rsid w:val="009600EE"/>
    <w:rsid w:val="009C0421"/>
    <w:rsid w:val="009D22FC"/>
    <w:rsid w:val="009F24BD"/>
    <w:rsid w:val="009F7B6F"/>
    <w:rsid w:val="00A06DB1"/>
    <w:rsid w:val="00A079FC"/>
    <w:rsid w:val="00A47276"/>
    <w:rsid w:val="00A71857"/>
    <w:rsid w:val="00A71BC9"/>
    <w:rsid w:val="00AA2847"/>
    <w:rsid w:val="00AB1ED1"/>
    <w:rsid w:val="00AB77C4"/>
    <w:rsid w:val="00B045BA"/>
    <w:rsid w:val="00B228F3"/>
    <w:rsid w:val="00B34F55"/>
    <w:rsid w:val="00B84523"/>
    <w:rsid w:val="00BA1CE1"/>
    <w:rsid w:val="00BA4663"/>
    <w:rsid w:val="00BB52C2"/>
    <w:rsid w:val="00BB6C66"/>
    <w:rsid w:val="00BE2460"/>
    <w:rsid w:val="00BF63AA"/>
    <w:rsid w:val="00C20799"/>
    <w:rsid w:val="00C332E6"/>
    <w:rsid w:val="00C47854"/>
    <w:rsid w:val="00C47B74"/>
    <w:rsid w:val="00C51C1B"/>
    <w:rsid w:val="00C65D46"/>
    <w:rsid w:val="00C8573A"/>
    <w:rsid w:val="00CB2291"/>
    <w:rsid w:val="00CC4051"/>
    <w:rsid w:val="00D223DA"/>
    <w:rsid w:val="00D2540B"/>
    <w:rsid w:val="00D26244"/>
    <w:rsid w:val="00D704DD"/>
    <w:rsid w:val="00D84E81"/>
    <w:rsid w:val="00DA0023"/>
    <w:rsid w:val="00DA4CD5"/>
    <w:rsid w:val="00DB6BBE"/>
    <w:rsid w:val="00DC4961"/>
    <w:rsid w:val="00DF279B"/>
    <w:rsid w:val="00E21202"/>
    <w:rsid w:val="00E42A17"/>
    <w:rsid w:val="00E53783"/>
    <w:rsid w:val="00E9185A"/>
    <w:rsid w:val="00EB0CC7"/>
    <w:rsid w:val="00EB1491"/>
    <w:rsid w:val="00EC2E9B"/>
    <w:rsid w:val="00EE53EF"/>
    <w:rsid w:val="00EF3AAD"/>
    <w:rsid w:val="00F173D6"/>
    <w:rsid w:val="00F32BDB"/>
    <w:rsid w:val="00F351A2"/>
    <w:rsid w:val="00F60C55"/>
    <w:rsid w:val="00F67CE4"/>
    <w:rsid w:val="00FA3E39"/>
    <w:rsid w:val="00FC2EB8"/>
    <w:rsid w:val="00FD64BA"/>
    <w:rsid w:val="00FD711F"/>
    <w:rsid w:val="00FE13FA"/>
    <w:rsid w:val="00FF1A6D"/>
    <w:rsid w:val="00FF67EE"/>
    <w:rsid w:val="051C08A3"/>
    <w:rsid w:val="0EC87A33"/>
    <w:rsid w:val="10883AFD"/>
    <w:rsid w:val="177C5499"/>
    <w:rsid w:val="18D93F2F"/>
    <w:rsid w:val="23D15901"/>
    <w:rsid w:val="33B57CD6"/>
    <w:rsid w:val="3CCF7F33"/>
    <w:rsid w:val="4A92109F"/>
    <w:rsid w:val="4B2A6055"/>
    <w:rsid w:val="5C466FD1"/>
    <w:rsid w:val="60A34FE8"/>
    <w:rsid w:val="6DFD4CCB"/>
    <w:rsid w:val="6FCF012A"/>
    <w:rsid w:val="779E1A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djustRightInd w:val="0"/>
      <w:jc w:val="distribute"/>
      <w:outlineLvl w:val="0"/>
    </w:pPr>
    <w:rPr>
      <w:rFonts w:eastAsia="方正小标宋简体"/>
      <w:b/>
      <w:color w:val="FF0000"/>
      <w:kern w:val="44"/>
      <w:sz w:val="72"/>
    </w:rPr>
  </w:style>
  <w:style w:type="paragraph" w:styleId="4">
    <w:name w:val="heading 2"/>
    <w:basedOn w:val="1"/>
    <w:next w:val="1"/>
    <w:link w:val="18"/>
    <w:qFormat/>
    <w:uiPriority w:val="0"/>
    <w:pPr>
      <w:keepNext/>
      <w:widowControl/>
      <w:tabs>
        <w:tab w:val="left" w:pos="3570"/>
      </w:tabs>
      <w:adjustRightInd w:val="0"/>
      <w:snapToGrid w:val="0"/>
      <w:spacing w:line="360" w:lineRule="auto"/>
      <w:ind w:firstLine="206" w:firstLineChars="98"/>
      <w:jc w:val="left"/>
      <w:outlineLvl w:val="1"/>
    </w:pPr>
    <w:rPr>
      <w:rFonts w:ascii="Times New Roman" w:hAnsi="Times New Roman" w:eastAsia="宋体" w:cs="Times New Roman"/>
      <w:b/>
      <w:szCs w:val="1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semiHidden/>
    <w:qFormat/>
    <w:uiPriority w:val="99"/>
    <w:pPr>
      <w:ind w:left="420" w:leftChars="200"/>
    </w:pPr>
    <w:rPr>
      <w:rFonts w:ascii="Times New Roman" w:hAnsi="Times New Roman"/>
    </w:rPr>
  </w:style>
  <w:style w:type="paragraph" w:styleId="5">
    <w:name w:val="Body Text Indent"/>
    <w:basedOn w:val="1"/>
    <w:next w:val="6"/>
    <w:qFormat/>
    <w:uiPriority w:val="0"/>
    <w:pPr>
      <w:spacing w:line="500" w:lineRule="exact"/>
      <w:ind w:firstLine="562" w:firstLineChars="200"/>
    </w:pPr>
    <w:rPr>
      <w:rFonts w:ascii="仿宋_GB2312" w:hAnsi="宋体" w:eastAsia="仿宋_GB2312"/>
      <w:b/>
      <w:sz w:val="28"/>
      <w:szCs w:val="28"/>
    </w:rPr>
  </w:style>
  <w:style w:type="paragraph" w:styleId="6">
    <w:name w:val="envelope return"/>
    <w:basedOn w:val="1"/>
    <w:qFormat/>
    <w:uiPriority w:val="0"/>
    <w:rPr>
      <w:rFonts w:ascii="Arial" w:hAnsi="Arial"/>
    </w:rPr>
  </w:style>
  <w:style w:type="paragraph" w:styleId="7">
    <w:name w:val="Balloon Text"/>
    <w:basedOn w:val="1"/>
    <w:link w:val="19"/>
    <w:semiHidden/>
    <w:unhideWhenUsed/>
    <w:qFormat/>
    <w:uiPriority w:val="99"/>
    <w:rPr>
      <w:sz w:val="18"/>
      <w:szCs w:val="18"/>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line="552" w:lineRule="exact"/>
      <w:ind w:firstLine="200" w:firstLineChars="200"/>
      <w:jc w:val="left"/>
    </w:pPr>
    <w:rPr>
      <w:rFonts w:ascii="Times New Roman" w:hAnsi="Times New Roman" w:eastAsia="仿宋_GB2312" w:cs="Times New Roman"/>
      <w:kern w:val="0"/>
      <w:sz w:val="24"/>
      <w:szCs w:val="20"/>
    </w:rPr>
  </w:style>
  <w:style w:type="paragraph" w:styleId="11">
    <w:name w:val="Body Text First Indent 2"/>
    <w:basedOn w:val="5"/>
    <w:unhideWhenUsed/>
    <w:qFormat/>
    <w:uiPriority w:val="99"/>
    <w:pPr>
      <w:ind w:firstLine="420" w:firstLineChars="200"/>
    </w:pPr>
  </w:style>
  <w:style w:type="character" w:styleId="14">
    <w:name w:val="Emphasis"/>
    <w:qFormat/>
    <w:uiPriority w:val="20"/>
    <w:rPr>
      <w:rFonts w:eastAsia="楷体_GB2312"/>
      <w:b/>
      <w:iCs/>
      <w:sz w:val="32"/>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标题 2 Char"/>
    <w:basedOn w:val="13"/>
    <w:link w:val="4"/>
    <w:qFormat/>
    <w:uiPriority w:val="0"/>
    <w:rPr>
      <w:rFonts w:ascii="Times New Roman" w:hAnsi="Times New Roman" w:eastAsia="宋体" w:cs="Times New Roman"/>
      <w:b/>
      <w:szCs w:val="16"/>
    </w:rPr>
  </w:style>
  <w:style w:type="character" w:customStyle="1" w:styleId="19">
    <w:name w:val="批注框文本 Char"/>
    <w:basedOn w:val="13"/>
    <w:link w:val="7"/>
    <w:semiHidden/>
    <w:qFormat/>
    <w:uiPriority w:val="99"/>
    <w:rPr>
      <w:sz w:val="18"/>
      <w:szCs w:val="18"/>
    </w:rPr>
  </w:style>
  <w:style w:type="paragraph" w:customStyle="1" w:styleId="20">
    <w:name w:val="样式 小四 首行缩进:  2 字符"/>
    <w:basedOn w:val="1"/>
    <w:qFormat/>
    <w:uiPriority w:val="0"/>
    <w:pPr>
      <w:spacing w:line="300" w:lineRule="auto"/>
      <w:ind w:firstLine="480" w:firstLineChars="200"/>
    </w:pPr>
    <w:rPr>
      <w:rFonts w:ascii="Times New Roman" w:hAnsi="Times New Roman" w:eastAsia="宋体" w:cs="Times New Roman"/>
      <w:sz w:val="24"/>
      <w:szCs w:val="20"/>
    </w:rPr>
  </w:style>
  <w:style w:type="paragraph" w:customStyle="1" w:styleId="21">
    <w:name w:val="Char"/>
    <w:basedOn w:val="1"/>
    <w:qFormat/>
    <w:uiPriority w:val="0"/>
    <w:pPr>
      <w:tabs>
        <w:tab w:val="left" w:pos="0"/>
      </w:tabs>
      <w:adjustRightInd w:val="0"/>
      <w:snapToGrid w:val="0"/>
      <w:spacing w:beforeLines="150" w:line="360" w:lineRule="auto"/>
      <w:ind w:firstLine="192" w:firstLineChars="192"/>
    </w:pPr>
    <w:rPr>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E93B-4C5D-4742-A838-85761117D0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655</Words>
  <Characters>689</Characters>
  <Lines>18</Lines>
  <Paragraphs>5</Paragraphs>
  <TotalTime>2</TotalTime>
  <ScaleCrop>false</ScaleCrop>
  <LinksUpToDate>false</LinksUpToDate>
  <CharactersWithSpaces>752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2018-04-28T02:17:00Z</dcterms:created>
  <dc:creator>admin</dc:creator>
  <cp:lastModifiedBy>Pan</cp:lastModifiedBy>
  <cp:lastPrinted>2020-09-01T08:42:00Z</cp:lastPrinted>
  <dcterms:modified xsi:type="dcterms:W3CDTF">2023-04-25T02:22:47Z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F97EDA32CA8047ACA64040E39BCE6A14_13</vt:lpwstr>
  </property>
</Properties>
</file>