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400" w:lineRule="atLeast"/>
        <w:jc w:val="right"/>
        <w:rPr>
          <w:rFonts w:hint="default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C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</w:t>
      </w:r>
      <w:r>
        <w:rPr>
          <w:rFonts w:ascii="仿宋" w:hAnsi="仿宋" w:eastAsia="仿宋" w:cs="宋体"/>
          <w:kern w:val="0"/>
          <w:sz w:val="32"/>
          <w:szCs w:val="32"/>
        </w:rPr>
        <w:t>号 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kern w:val="0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对市十七届人大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266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沈宝惠代表：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您提出的“关于提升城市北部交通综合通行能力的建议”收悉，我局及时召开建议提案交办会议专题研究，商议相关措施，现答复如下：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十四五”期间，随着通苏嘉甬铁路慈溪站的开工建设和前湾新区的重点打造，我市将加强与杭州湾新区的互联互通，积极补齐交通短板，加快形成一批重大项目储备。未来五年，中横线快速路、浒运公路、浒崇公路改扩建、永安路改造延伸、城市北外环线等一系列交通项目将在“十四五”期间建成。沈宝惠等代表在建议中提出的道路工程，有的已纳入《全市域加快高水平交通建设五年行动计划》和我市“十四五”相关规划，有的已着手开展前期工作，我局将在职责范围内全力做好配合工作，争取项目早日落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市北外环（西三环—寺马线）计划分三段实施，其中城市北外环（东三环—寺马线）工程、城市北外环（浒崇公路—东三环路）工程两项目已于2020年完成了项目建议书备案，并列入了2021年度市本级政府性投资预备项目计划，城市北外环（西三环—浒崇公路）工程也已在谋划中。住建部门将加快推进城市北外环道路建设工作，在条件成熟的前提下，适时启动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1月正式发布的《全市域加快高水平交通建设五年行动计划》中，寺马线北延（中横线-城市北环线北）项目已列入新开工项目，计划2022年开工建设；寺马线北延（胜山－新浦段）也已列入前期谋划和储备类项目；您建议的继续往北延伸至规划S202，需与杭州湾新区协同，并根据区域整体路网布局，做进一步的深化研究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杭甬高速复线宁波段一期工程的建设计划，在慈溪市域现有新浦互通的东侧增设一处出入口，为新浦东互通，同时建设新浦服务区。考虑将新浦东互通出入口与地方道路连接,同时缓解该段建附线目前的交通压力，于杭甬高速复线北侧设置一条互通连接线，即杭甬高速复线新浦东互通连接线工程（建附线新浦至附海段改线），项目西起樟新公路东至新观附公路，全长3.9公里，计划于年底开工建设。您建议的建附线复线即杭甬高速复线新浦东互通连接线（建附线新浦至附海改线）继续向西延至马潭路，可根据区域整体路网布局做进一步研究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樟新公路北沿在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2009年《慈溪市北部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围涂造地区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域（水云浦—淞浦）骨干公路路线规划》（以下简称《规划》）中已有初步谋划思路。该《规划》范围近期西起慈溪市水云浦，东至淞浦的围涂区；南北方向：郑家浦以西为十塘至十一塘，郑家浦以东为九塘至十塘。远期为便于今后发展，北部范围扩展到规划围涂区。《规划》会审会议纪要中提出：樟新公路北延以现状公路终点作为设计起点，双向四车道，设计速度80公里/小时。公路路基宽30米。在近期规划区域内樟新公路全长2.92公里，远期规划区域内樟新公路全长2.531公里。为进一步强化公路网合理布局，我们会根据有限财力及新形势的变化要求，加强科学规划，合理安排建设时序，争取项目早日落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龙线（七塘公路）是慈溪市北部及杭州湾新区东西向的一条重要县道公路，路线全长40.5km。整条公路以水云浦为界，以西段25.3公里属杭州湾新区管养，其余路段属慈溪市公路部门管养。公路路线原为围海(七塘)的海塘堤，上世纪九十年代在塘堤基础上修建，建设年代较久，标准较低。随着交通量的逐年增长，部分路段运营压力较大。综合考虑规划、土地、拆迁及投资等方面的因素，目前对西龙线进行拓宽的难度较大；我市已在该区域（西龙线北边）规划建设S202，且作为前期谋划和预备项目列入了《全市域加快高水平交通建设五年行动计划》。规划S202道路等级为一级公路,新建段西接杭州湾新区，东至已建湖滨公路段，长约30k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马潭路拓宽的建议，新浦镇将在下一轮国土空间规划中对该道路规划进行调整，设计成长度3.3公里，路幅宽度16米的双向两车道市政道路，对工程建设中征地拆迁、线位安排、施工影响等问题加大协调力度，优化施工方案。同时配合美丽城镇的建设需求，将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路建设成海韵风情和葡萄特色产业快速发展的南北走向主干道路。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　　　　　　　　　　　　　　慈溪市交通运输局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　　　　　　　　　　　　　　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  <w:t>　　抄　　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市人大代表工委，市政府办公室，市发改局,市财政局,市住建局,新浦镇,胜山镇,逍林镇，新浦镇人大主席团，潘长苗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代表，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周利华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代表，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张松军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沈凌霞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>　　联系电话：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  <w:lang w:val="en-US" w:eastAsia="zh-CN"/>
        </w:rPr>
        <w:t>63017222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kWxL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12844EC4"/>
    <w:rsid w:val="20FB4385"/>
    <w:rsid w:val="29EF4594"/>
    <w:rsid w:val="340F07C5"/>
    <w:rsid w:val="3B0B0044"/>
    <w:rsid w:val="47CC5554"/>
    <w:rsid w:val="559B66D9"/>
    <w:rsid w:val="59965E5F"/>
    <w:rsid w:val="5C2B2B9B"/>
    <w:rsid w:val="6468421D"/>
    <w:rsid w:val="6D1A778A"/>
    <w:rsid w:val="70227EC9"/>
    <w:rsid w:val="736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 Char Char Char Char Char Char Char Char Char Char Char Char Char Char1 Char"/>
    <w:basedOn w:val="1"/>
    <w:link w:val="6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8">
    <w:name w:val="page number"/>
    <w:basedOn w:val="6"/>
    <w:qFormat/>
    <w:uiPriority w:val="0"/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2020-09-08T07:00:00Z</cp:lastPrinted>
  <dcterms:modified xsi:type="dcterms:W3CDTF">2021-06-30T02:09:21Z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