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480" w:lineRule="exact"/>
        <w:rPr>
          <w:rFonts w:ascii="黑体" w:hAnsi="宋体" w:eastAsia="黑体"/>
          <w:spacing w:val="-20"/>
          <w:sz w:val="32"/>
          <w:szCs w:val="32"/>
        </w:rPr>
      </w:pPr>
    </w:p>
    <w:p>
      <w:pPr>
        <w:pStyle w:val="2"/>
        <w:spacing w:before="0" w:beforeAutospacing="0" w:after="0" w:afterAutospacing="0" w:line="480" w:lineRule="exact"/>
        <w:rPr>
          <w:rFonts w:ascii="仿宋_GB2312" w:hAnsi="宋体" w:eastAsia="仿宋_GB2312"/>
          <w:spacing w:val="-20"/>
          <w:sz w:val="30"/>
          <w:szCs w:val="30"/>
        </w:rPr>
      </w:pPr>
    </w:p>
    <w:p>
      <w:pPr>
        <w:spacing w:line="560" w:lineRule="exact"/>
        <w:ind w:right="620"/>
        <w:rPr>
          <w:rFonts w:ascii="仿宋_GB2312" w:eastAsia="仿宋_GB2312"/>
          <w:sz w:val="32"/>
        </w:rPr>
      </w:pPr>
    </w:p>
    <w:p>
      <w:pPr>
        <w:rPr>
          <w:rFonts w:ascii="方正小标宋简体" w:eastAsia="方正小标宋简体"/>
          <w:spacing w:val="-20"/>
          <w:sz w:val="80"/>
          <w:szCs w:val="80"/>
        </w:rPr>
      </w:pPr>
      <w:r>
        <w:rPr>
          <w:rFonts w:hint="eastAsia" w:ascii="方正小标宋简体" w:eastAsia="方正小标宋简体"/>
          <w:bCs/>
          <w:color w:val="FF0000"/>
          <w:spacing w:val="-20"/>
          <w:sz w:val="80"/>
          <w:szCs w:val="80"/>
        </w:rPr>
        <w:t>慈溪市自然资源和规划局</w:t>
      </w:r>
    </w:p>
    <w:p>
      <w:pPr>
        <w:spacing w:line="340" w:lineRule="exact"/>
        <w:jc w:val="center"/>
        <w:rPr>
          <w:rFonts w:ascii="仿宋_GB2312"/>
          <w:sz w:val="32"/>
          <w:szCs w:val="32"/>
        </w:rPr>
      </w:pPr>
    </w:p>
    <w:p>
      <w:pPr>
        <w:spacing w:line="340" w:lineRule="exact"/>
        <w:jc w:val="center"/>
        <w:rPr>
          <w:rFonts w:ascii="仿宋_GB2312"/>
          <w:sz w:val="32"/>
          <w:szCs w:val="32"/>
        </w:rPr>
      </w:pPr>
    </w:p>
    <w:p>
      <w:pPr>
        <w:pStyle w:val="2"/>
        <w:spacing w:before="0" w:beforeAutospacing="0" w:after="0" w:afterAutospacing="0" w:line="560" w:lineRule="exact"/>
        <w:rPr>
          <w:rFonts w:ascii="方正小标宋简体" w:hAnsi="宋体" w:eastAsia="方正小标宋简体"/>
          <w:spacing w:val="-20"/>
          <w:sz w:val="44"/>
          <w:szCs w:val="44"/>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187960</wp:posOffset>
                </wp:positionV>
                <wp:extent cx="5600700" cy="0"/>
                <wp:effectExtent l="19050" t="23495" r="19050" b="1460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cmpd="sng">
                          <a:solidFill>
                            <a:srgbClr val="FF0000"/>
                          </a:solidFill>
                          <a:round/>
                        </a:ln>
                      </wps:spPr>
                      <wps:bodyPr/>
                    </wps:wsp>
                  </a:graphicData>
                </a:graphic>
              </wp:anchor>
            </w:drawing>
          </mc:Choice>
          <mc:Fallback>
            <w:pict>
              <v:line id="_x0000_s1026" o:spid="_x0000_s1026" o:spt="20" style="position:absolute;left:0pt;margin-left:5.35pt;margin-top:14.8pt;height:0pt;width:441pt;z-index:251659264;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&#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76eW/TAAAACAEAAA8AAAAAAAAAAQAgAAAAIgAAAGRy&#10;cy9kb3ducmV2LnhtbFBLAQIUABQAAAAIAIdO4kDysQTW0QEAAGgDAAAOAAAAAAAAAAEAIAAAACIB&#10;AABkcnMvZTJvRG9jLnhtbFBLBQYAAAAABgAGAFkBAABlBQAAAAA=&#10;">
                <v:fill on="f" focussize="0,0"/>
                <v:stroke weight="2.25pt" color="#FF0000" joinstyle="round"/>
                <v:imagedata o:title=""/>
                <o:lock v:ext="edit" aspectratio="f"/>
              </v:line>
            </w:pict>
          </mc:Fallback>
        </mc:AlternateContent>
      </w:r>
    </w:p>
    <w:p>
      <w:pPr>
        <w:spacing w:line="440" w:lineRule="exact"/>
        <w:jc w:val="center"/>
        <w:rPr>
          <w:rFonts w:ascii="方正小标宋简体" w:eastAsia="方正小标宋简体"/>
          <w:sz w:val="44"/>
          <w:szCs w:val="44"/>
        </w:rPr>
      </w:pPr>
    </w:p>
    <w:p>
      <w:pPr>
        <w:spacing w:line="44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关于市十八届人大一次会议</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第76号建议的协办意见</w:t>
      </w:r>
    </w:p>
    <w:p>
      <w:pPr>
        <w:spacing w:line="560" w:lineRule="exact"/>
        <w:rPr>
          <w:rFonts w:ascii="仿宋_GB2312" w:eastAsia="仿宋_GB2312"/>
          <w:sz w:val="32"/>
        </w:rPr>
      </w:pPr>
    </w:p>
    <w:p>
      <w:pPr>
        <w:spacing w:line="560" w:lineRule="exact"/>
        <w:rPr>
          <w:rFonts w:ascii="仿宋_GB2312" w:eastAsia="仿宋_GB2312"/>
          <w:sz w:val="32"/>
        </w:rPr>
      </w:pPr>
      <w:r>
        <w:rPr>
          <w:rFonts w:hint="eastAsia" w:ascii="仿宋_GB2312" w:eastAsia="仿宋_GB2312"/>
          <w:sz w:val="32"/>
        </w:rPr>
        <w:t>市农业农村局：</w:t>
      </w:r>
    </w:p>
    <w:p>
      <w:pPr>
        <w:pStyle w:val="2"/>
        <w:spacing w:before="0" w:beforeAutospacing="0" w:after="0" w:afterAutospacing="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韩佰盛代表在市十八届人大一次会议大会期间提出的《关于规范农民公寓后续管理的建议》（第76号）建议已收悉。经研究，现就有关协办意见答复如下：</w:t>
      </w:r>
    </w:p>
    <w:p>
      <w:pPr>
        <w:pStyle w:val="2"/>
        <w:spacing w:before="0" w:beforeAutospacing="0" w:after="0" w:afterAutospacing="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关于印发慈溪市农民建房用地管理办法的通知》（慈政办发〔2008〕43号）、《关于进一步规范农村宅基地管理的实施意见》（慈政办发〔2014〕96号）、《〈关于进一步推进农村住房制度改革和住房集中改建暂行办法〉修订意见》（慈党〔2014〕9号）是我市农民公寓项目建设管理</w:t>
      </w:r>
      <w:r>
        <w:rPr>
          <w:rFonts w:hint="eastAsia" w:ascii="仿宋_GB2312" w:hAnsi="宋体" w:eastAsia="仿宋_GB2312"/>
          <w:sz w:val="32"/>
          <w:szCs w:val="32"/>
          <w:lang w:eastAsia="zh-CN"/>
        </w:rPr>
        <w:t>工作</w:t>
      </w:r>
      <w:r>
        <w:rPr>
          <w:rFonts w:hint="eastAsia" w:ascii="仿宋_GB2312" w:hAnsi="宋体" w:eastAsia="仿宋_GB2312"/>
          <w:sz w:val="32"/>
          <w:szCs w:val="32"/>
        </w:rPr>
        <w:t>的主要依据。</w:t>
      </w:r>
    </w:p>
    <w:p>
      <w:pPr>
        <w:pStyle w:val="2"/>
        <w:spacing w:before="0" w:beforeAutospacing="0" w:after="0" w:afterAutospacing="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为保障农民公寓分割到户工作，2015年5月，原慈溪市国土资源局印发《慈溪市国土资源局关于农民公寓项目用地复核验收和土地分割登记操作办法（试行）》（慈土资发〔2015〕12号）。文件规定，农民公寓通过复核验收后，项目主体可申请首次登记，再依据经“农房两改”工作领导小组办公室和市国土资源局备案的房屋分配办法（方案），按规定程序和要求将房屋分配给有条件享受的户。近年来，符合建房条件申购农民公寓的农村村民，在通过申请统建房购买备案和审批后，已基本完成不动产登记，符合条件</w:t>
      </w:r>
      <w:r>
        <w:rPr>
          <w:rFonts w:hint="eastAsia" w:ascii="仿宋_GB2312" w:hAnsi="宋体" w:eastAsia="仿宋_GB2312"/>
          <w:sz w:val="32"/>
          <w:szCs w:val="32"/>
          <w:lang w:eastAsia="zh-CN"/>
        </w:rPr>
        <w:t>但</w:t>
      </w:r>
      <w:r>
        <w:rPr>
          <w:rFonts w:hint="eastAsia" w:ascii="仿宋_GB2312" w:hAnsi="宋体" w:eastAsia="仿宋_GB2312"/>
          <w:sz w:val="32"/>
          <w:szCs w:val="32"/>
        </w:rPr>
        <w:t>未申请</w:t>
      </w:r>
      <w:r>
        <w:rPr>
          <w:rFonts w:hint="eastAsia" w:ascii="仿宋_GB2312" w:hAnsi="宋体" w:eastAsia="仿宋_GB2312"/>
          <w:sz w:val="32"/>
          <w:szCs w:val="32"/>
          <w:lang w:eastAsia="zh-CN"/>
        </w:rPr>
        <w:t>登记</w:t>
      </w:r>
      <w:r>
        <w:rPr>
          <w:rFonts w:hint="eastAsia" w:ascii="仿宋_GB2312" w:hAnsi="宋体" w:eastAsia="仿宋_GB2312"/>
          <w:sz w:val="32"/>
          <w:szCs w:val="32"/>
        </w:rPr>
        <w:t>的农户，可按</w:t>
      </w:r>
      <w:r>
        <w:rPr>
          <w:rFonts w:hint="eastAsia" w:ascii="仿宋_GB2312" w:hAnsi="宋体" w:eastAsia="仿宋_GB2312"/>
          <w:sz w:val="32"/>
          <w:szCs w:val="32"/>
          <w:lang w:eastAsia="zh-CN"/>
        </w:rPr>
        <w:t>规定</w:t>
      </w:r>
      <w:r>
        <w:rPr>
          <w:rFonts w:hint="eastAsia" w:ascii="仿宋_GB2312" w:hAnsi="宋体" w:eastAsia="仿宋_GB2312"/>
          <w:sz w:val="32"/>
          <w:szCs w:val="32"/>
        </w:rPr>
        <w:t>办理。</w:t>
      </w:r>
    </w:p>
    <w:p>
      <w:pPr>
        <w:pStyle w:val="2"/>
        <w:spacing w:before="0" w:beforeAutospacing="0" w:after="0" w:afterAutospacing="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对于《关于规范农民公寓后续管理的建议》中提到的第4个问题“农民公寓房产权证符合规定的可以办理，而实际农民公寓住户真正符合规定，能办理的少之又少，造成农民公寓房权证一直无法落实，在管理中造成相当大的困扰”，系实际分配中不符合上述文件规定所致，</w:t>
      </w:r>
      <w:r>
        <w:rPr>
          <w:rFonts w:hint="eastAsia" w:ascii="仿宋_GB2312" w:hAnsi="宋体" w:eastAsia="仿宋_GB2312"/>
          <w:sz w:val="32"/>
          <w:szCs w:val="32"/>
          <w:lang w:eastAsia="zh-CN"/>
        </w:rPr>
        <w:t>实际使用的农户在符合现有政策规定的享受条件时，可通过批准后再申请办理权证到户；或待</w:t>
      </w:r>
      <w:r>
        <w:rPr>
          <w:rFonts w:hint="eastAsia" w:ascii="仿宋_GB2312" w:hAnsi="宋体" w:eastAsia="仿宋_GB2312"/>
          <w:sz w:val="32"/>
          <w:szCs w:val="32"/>
        </w:rPr>
        <w:t>调整相关政策规定，</w:t>
      </w:r>
      <w:r>
        <w:rPr>
          <w:rFonts w:hint="eastAsia" w:ascii="仿宋_GB2312" w:hAnsi="宋体" w:eastAsia="仿宋_GB2312"/>
          <w:sz w:val="32"/>
          <w:szCs w:val="32"/>
          <w:lang w:eastAsia="zh-CN"/>
        </w:rPr>
        <w:t>提供批准文件及有关资料申请</w:t>
      </w:r>
      <w:r>
        <w:rPr>
          <w:rFonts w:hint="eastAsia" w:ascii="仿宋_GB2312" w:hAnsi="宋体" w:eastAsia="仿宋_GB2312"/>
          <w:sz w:val="32"/>
          <w:szCs w:val="32"/>
        </w:rPr>
        <w:t>不动产登记，依法依规办理农民公寓</w:t>
      </w:r>
      <w:r>
        <w:rPr>
          <w:rFonts w:hint="eastAsia" w:ascii="仿宋_GB2312" w:hAnsi="宋体" w:eastAsia="仿宋_GB2312"/>
          <w:sz w:val="32"/>
          <w:szCs w:val="32"/>
          <w:lang w:eastAsia="zh-CN"/>
        </w:rPr>
        <w:t>的</w:t>
      </w:r>
      <w:r>
        <w:rPr>
          <w:rFonts w:hint="eastAsia" w:ascii="仿宋_GB2312" w:hAnsi="宋体" w:eastAsia="仿宋_GB2312"/>
          <w:sz w:val="32"/>
          <w:szCs w:val="32"/>
        </w:rPr>
        <w:t>产权证到户。</w:t>
      </w:r>
    </w:p>
    <w:p>
      <w:pPr>
        <w:pStyle w:val="2"/>
        <w:spacing w:before="0" w:beforeAutospacing="0" w:after="0" w:afterAutospacing="0" w:line="560" w:lineRule="exact"/>
        <w:ind w:firstLine="640" w:firstLineChars="200"/>
        <w:rPr>
          <w:rFonts w:ascii="仿宋_GB2312" w:eastAsia="仿宋_GB2312"/>
          <w:sz w:val="32"/>
        </w:rPr>
      </w:pPr>
      <w:r>
        <w:rPr>
          <w:rFonts w:hint="eastAsia" w:ascii="仿宋_GB2312" w:hAnsi="宋体" w:eastAsia="仿宋_GB2312"/>
          <w:sz w:val="32"/>
          <w:szCs w:val="32"/>
        </w:rPr>
        <w:t>特此致函</w:t>
      </w:r>
    </w:p>
    <w:p>
      <w:pPr>
        <w:spacing w:line="560" w:lineRule="exact"/>
        <w:ind w:firstLine="645"/>
        <w:rPr>
          <w:rFonts w:hint="eastAsia" w:ascii="仿宋_GB2312" w:eastAsia="仿宋_GB2312"/>
          <w:sz w:val="32"/>
        </w:rPr>
      </w:pPr>
      <w:r>
        <w:rPr>
          <w:rFonts w:hint="eastAsia" w:ascii="仿宋_GB2312" w:eastAsia="仿宋_GB2312"/>
          <w:sz w:val="32"/>
        </w:rPr>
        <w:t>　　　　　　　　　</w:t>
      </w:r>
    </w:p>
    <w:p>
      <w:pPr>
        <w:spacing w:line="560" w:lineRule="exact"/>
        <w:ind w:firstLine="3539" w:firstLineChars="1106"/>
        <w:rPr>
          <w:rFonts w:ascii="仿宋_GB2312" w:eastAsia="仿宋_GB2312"/>
          <w:sz w:val="32"/>
        </w:rPr>
      </w:pPr>
      <w:bookmarkStart w:id="0" w:name="_GoBack"/>
      <w:bookmarkEnd w:id="0"/>
      <w:r>
        <w:rPr>
          <w:rFonts w:hint="eastAsia" w:ascii="仿宋_GB2312" w:eastAsia="仿宋_GB2312"/>
          <w:sz w:val="32"/>
        </w:rPr>
        <w:t>　　　　慈溪市自然资源和规划局</w:t>
      </w:r>
    </w:p>
    <w:p>
      <w:pPr>
        <w:spacing w:line="560" w:lineRule="exact"/>
        <w:ind w:firstLine="645"/>
        <w:rPr>
          <w:rFonts w:ascii="仿宋_GB2312" w:eastAsia="仿宋_GB2312"/>
          <w:sz w:val="32"/>
        </w:rPr>
      </w:pPr>
      <w:r>
        <w:rPr>
          <w:rFonts w:hint="eastAsia" w:ascii="仿宋_GB2312" w:eastAsia="仿宋_GB2312"/>
          <w:sz w:val="32"/>
        </w:rPr>
        <w:t>　　　　　　　　　　         2022年4月21日</w:t>
      </w:r>
    </w:p>
    <w:p>
      <w:pPr>
        <w:spacing w:line="560" w:lineRule="exact"/>
        <w:rPr>
          <w:rFonts w:ascii="仿宋_GB2312" w:eastAsia="仿宋_GB2312"/>
          <w:sz w:val="32"/>
        </w:rPr>
      </w:pPr>
      <w:r>
        <w:rPr>
          <w:rFonts w:hint="eastAsia" w:ascii="仿宋_GB2312" w:eastAsia="仿宋_GB2312"/>
          <w:sz w:val="32"/>
        </w:rPr>
        <w:t>　　联 系 人：虞益军</w:t>
      </w:r>
    </w:p>
    <w:p>
      <w:pPr>
        <w:spacing w:line="560" w:lineRule="exact"/>
        <w:rPr>
          <w:rFonts w:ascii="仿宋_GB2312" w:eastAsia="仿宋_GB2312"/>
          <w:sz w:val="32"/>
        </w:rPr>
      </w:pPr>
      <w:r>
        <w:rPr>
          <w:rFonts w:hint="eastAsia" w:ascii="仿宋_GB2312" w:eastAsia="仿宋_GB2312"/>
          <w:sz w:val="32"/>
        </w:rPr>
        <w:t>　　联系电话：13646603912（563912）</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DA"/>
    <w:rsid w:val="000B06F1"/>
    <w:rsid w:val="00125B43"/>
    <w:rsid w:val="001357B0"/>
    <w:rsid w:val="00340106"/>
    <w:rsid w:val="00375AC8"/>
    <w:rsid w:val="00444141"/>
    <w:rsid w:val="00476E7C"/>
    <w:rsid w:val="005614B4"/>
    <w:rsid w:val="005B6208"/>
    <w:rsid w:val="00644119"/>
    <w:rsid w:val="00766ADA"/>
    <w:rsid w:val="00826E6C"/>
    <w:rsid w:val="00B676AB"/>
    <w:rsid w:val="00D81391"/>
    <w:rsid w:val="00E737FA"/>
    <w:rsid w:val="00ED4748"/>
    <w:rsid w:val="4C2575B1"/>
    <w:rsid w:val="54DB2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676</Words>
  <Characters>715</Characters>
  <Lines>5</Lines>
  <Paragraphs>1</Paragraphs>
  <TotalTime>153</TotalTime>
  <ScaleCrop>false</ScaleCrop>
  <LinksUpToDate>false</LinksUpToDate>
  <CharactersWithSpaces>753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2022-04-14T02:37:00Z</dcterms:created>
  <dc:creator>USER</dc:creator>
  <cp:lastModifiedBy>yeyeyeah</cp:lastModifiedBy>
  <cp:lastPrinted>2022-04-15T01:27:00Z</cp:lastPrinted>
  <dcterms:modified xsi:type="dcterms:W3CDTF">2022-04-21T02:02:43Z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5D18DEAC563F4BDFA2BC87892F4418E0</vt:lpwstr>
  </property>
</Properties>
</file>