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45" w:rsidRDefault="00A53445" w:rsidP="000B1744">
      <w:pPr>
        <w:spacing w:line="700" w:lineRule="exact"/>
        <w:jc w:val="center"/>
        <w:rPr>
          <w:rFonts w:ascii="宋体" w:hAnsi="宋体" w:cs="宋体"/>
          <w:b/>
          <w:bCs/>
          <w:color w:val="000000"/>
          <w:position w:val="2"/>
          <w:sz w:val="44"/>
          <w:szCs w:val="44"/>
        </w:rPr>
      </w:pPr>
    </w:p>
    <w:p w:rsidR="00A53445" w:rsidRDefault="00A53445" w:rsidP="000B1744">
      <w:pPr>
        <w:spacing w:line="700" w:lineRule="exact"/>
        <w:jc w:val="center"/>
        <w:rPr>
          <w:rFonts w:ascii="宋体" w:hAnsi="宋体" w:cs="宋体"/>
          <w:b/>
          <w:bCs/>
          <w:color w:val="000000"/>
          <w:position w:val="2"/>
          <w:sz w:val="44"/>
          <w:szCs w:val="44"/>
        </w:rPr>
      </w:pPr>
    </w:p>
    <w:p w:rsidR="00A53445" w:rsidRDefault="000B1744" w:rsidP="000B1744">
      <w:pPr>
        <w:spacing w:line="700" w:lineRule="exact"/>
        <w:jc w:val="center"/>
        <w:rPr>
          <w:rFonts w:ascii="宋体" w:hAnsi="宋体" w:cs="宋体"/>
          <w:b/>
          <w:bCs/>
          <w:color w:val="000000"/>
          <w:position w:val="2"/>
          <w:sz w:val="44"/>
          <w:szCs w:val="44"/>
        </w:rPr>
      </w:pPr>
      <w:r w:rsidRPr="000B1744">
        <w:rPr>
          <w:rFonts w:ascii="宋体" w:hAnsi="宋体" w:cs="宋体" w:hint="eastAsia"/>
          <w:b/>
          <w:bCs/>
          <w:color w:val="000000"/>
          <w:position w:val="2"/>
          <w:sz w:val="44"/>
          <w:szCs w:val="44"/>
        </w:rPr>
        <w:t>关于加快实施掌二线北延至新国道工程的建议</w:t>
      </w:r>
    </w:p>
    <w:p w:rsidR="00A53445" w:rsidRDefault="00A53445">
      <w:pPr>
        <w:spacing w:line="560" w:lineRule="exact"/>
        <w:jc w:val="center"/>
        <w:rPr>
          <w:rFonts w:ascii="黑体" w:eastAsia="黑体" w:hAnsi="楷体_GB2312" w:cs="楷体_GB2312"/>
          <w:sz w:val="32"/>
          <w:szCs w:val="32"/>
        </w:rPr>
      </w:pPr>
    </w:p>
    <w:p w:rsidR="00A53445" w:rsidRDefault="000B1744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>冯嘉耀</w:t>
      </w:r>
    </w:p>
    <w:p w:rsidR="00A53445" w:rsidRDefault="000B1744">
      <w:pPr>
        <w:spacing w:line="560" w:lineRule="exact"/>
        <w:ind w:left="1600" w:hangingChars="500" w:hanging="1600"/>
        <w:rPr>
          <w:sz w:val="30"/>
          <w:szCs w:val="30"/>
        </w:rPr>
      </w:pPr>
      <w:r>
        <w:rPr>
          <w:rFonts w:ascii="楷体_GB2312" w:eastAsia="楷体_GB2312" w:hint="eastAsia"/>
          <w:sz w:val="32"/>
          <w:szCs w:val="32"/>
        </w:rPr>
        <w:t>附议代表：柴葱绿、韩宗海</w:t>
      </w:r>
      <w:bookmarkStart w:id="0" w:name="_GoBack"/>
      <w:bookmarkEnd w:id="0"/>
    </w:p>
    <w:p w:rsidR="00A53445" w:rsidRDefault="00A53445">
      <w:pPr>
        <w:spacing w:line="560" w:lineRule="exact"/>
        <w:rPr>
          <w:rFonts w:ascii="仿宋_GB2312" w:eastAsia="仿宋_GB2312" w:hAnsi="楷体_GB2312" w:cs="楷体_GB2312"/>
          <w:sz w:val="32"/>
          <w:szCs w:val="32"/>
        </w:rPr>
      </w:pPr>
    </w:p>
    <w:p w:rsidR="00A53445" w:rsidRDefault="000B1744">
      <w:pPr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/>
          <w:sz w:val="32"/>
          <w:szCs w:val="32"/>
        </w:rPr>
        <w:t>2013</w:t>
      </w:r>
      <w:r>
        <w:rPr>
          <w:rFonts w:ascii="仿宋_GB2312" w:eastAsia="仿宋_GB2312" w:hAnsi="楷体_GB2312" w:cs="楷体_GB2312" w:hint="eastAsia"/>
          <w:sz w:val="32"/>
          <w:szCs w:val="32"/>
        </w:rPr>
        <w:t>年</w:t>
      </w:r>
      <w:r>
        <w:rPr>
          <w:rFonts w:ascii="仿宋_GB2312" w:eastAsia="仿宋_GB2312" w:hAnsi="楷体_GB2312" w:cs="楷体_GB2312"/>
          <w:sz w:val="32"/>
          <w:szCs w:val="32"/>
        </w:rPr>
        <w:t>1</w:t>
      </w:r>
      <w:r>
        <w:rPr>
          <w:rFonts w:ascii="仿宋_GB2312" w:eastAsia="仿宋_GB2312" w:hAnsi="楷体_GB2312" w:cs="楷体_GB2312" w:hint="eastAsia"/>
          <w:sz w:val="32"/>
          <w:szCs w:val="32"/>
        </w:rPr>
        <w:t>月至</w:t>
      </w:r>
      <w:r>
        <w:rPr>
          <w:rFonts w:ascii="仿宋_GB2312" w:eastAsia="仿宋_GB2312" w:hAnsi="楷体_GB2312" w:cs="楷体_GB2312"/>
          <w:sz w:val="32"/>
          <w:szCs w:val="32"/>
        </w:rPr>
        <w:t>2020</w:t>
      </w:r>
      <w:r>
        <w:rPr>
          <w:rFonts w:ascii="仿宋_GB2312" w:eastAsia="仿宋_GB2312" w:hAnsi="楷体_GB2312" w:cs="楷体_GB2312" w:hint="eastAsia"/>
          <w:sz w:val="32"/>
          <w:szCs w:val="32"/>
        </w:rPr>
        <w:t>年</w:t>
      </w:r>
      <w:r>
        <w:rPr>
          <w:rFonts w:ascii="仿宋_GB2312" w:eastAsia="仿宋_GB2312" w:hAnsi="楷体_GB2312" w:cs="楷体_GB2312"/>
          <w:sz w:val="32"/>
          <w:szCs w:val="32"/>
        </w:rPr>
        <w:t>1</w:t>
      </w:r>
      <w:r>
        <w:rPr>
          <w:rFonts w:ascii="仿宋_GB2312" w:eastAsia="仿宋_GB2312" w:hAnsi="楷体_GB2312" w:cs="楷体_GB2312" w:hint="eastAsia"/>
          <w:sz w:val="32"/>
          <w:szCs w:val="32"/>
        </w:rPr>
        <w:t>月间，我在市人代会中曾六次提出要求将“掌二线北延至新国道（中横线）公路建设”的建议，慈溪市交通局先后分别以［</w:t>
      </w:r>
      <w:r>
        <w:rPr>
          <w:rFonts w:ascii="仿宋_GB2312" w:eastAsia="仿宋_GB2312" w:hAnsi="楷体_GB2312" w:cs="楷体_GB2312"/>
          <w:sz w:val="32"/>
          <w:szCs w:val="32"/>
        </w:rPr>
        <w:t>2013</w:t>
      </w:r>
      <w:r>
        <w:rPr>
          <w:rFonts w:ascii="仿宋_GB2312" w:eastAsia="仿宋_GB2312" w:hAnsi="楷体_GB2312" w:cs="楷体_GB2312" w:hint="eastAsia"/>
          <w:sz w:val="32"/>
          <w:szCs w:val="32"/>
        </w:rPr>
        <w:t>］</w:t>
      </w:r>
      <w:r>
        <w:rPr>
          <w:rFonts w:ascii="仿宋_GB2312" w:eastAsia="仿宋_GB2312" w:hAnsi="楷体_GB2312" w:cs="楷体_GB2312"/>
          <w:sz w:val="32"/>
          <w:szCs w:val="32"/>
        </w:rPr>
        <w:t>6</w:t>
      </w:r>
      <w:r>
        <w:rPr>
          <w:rFonts w:ascii="仿宋_GB2312" w:eastAsia="仿宋_GB2312" w:hAnsi="楷体_GB2312" w:cs="楷体_GB2312" w:hint="eastAsia"/>
          <w:sz w:val="32"/>
          <w:szCs w:val="32"/>
        </w:rPr>
        <w:t>号、［</w:t>
      </w:r>
      <w:r>
        <w:rPr>
          <w:rFonts w:ascii="仿宋_GB2312" w:eastAsia="仿宋_GB2312" w:hAnsi="楷体_GB2312" w:cs="楷体_GB2312"/>
          <w:sz w:val="32"/>
          <w:szCs w:val="32"/>
        </w:rPr>
        <w:t>2014</w:t>
      </w:r>
      <w:r>
        <w:rPr>
          <w:rFonts w:ascii="仿宋_GB2312" w:eastAsia="仿宋_GB2312" w:hAnsi="楷体_GB2312" w:cs="楷体_GB2312" w:hint="eastAsia"/>
          <w:sz w:val="32"/>
          <w:szCs w:val="32"/>
        </w:rPr>
        <w:t>］</w:t>
      </w:r>
      <w:r>
        <w:rPr>
          <w:rFonts w:ascii="仿宋_GB2312" w:eastAsia="仿宋_GB2312" w:hAnsi="楷体_GB2312" w:cs="楷体_GB2312"/>
          <w:sz w:val="32"/>
          <w:szCs w:val="32"/>
        </w:rPr>
        <w:t>43</w:t>
      </w:r>
      <w:r>
        <w:rPr>
          <w:rFonts w:ascii="仿宋_GB2312" w:eastAsia="仿宋_GB2312" w:hAnsi="楷体_GB2312" w:cs="楷体_GB2312" w:hint="eastAsia"/>
          <w:sz w:val="32"/>
          <w:szCs w:val="32"/>
        </w:rPr>
        <w:t>号、［</w:t>
      </w:r>
      <w:r>
        <w:rPr>
          <w:rFonts w:ascii="仿宋_GB2312" w:eastAsia="仿宋_GB2312" w:hAnsi="楷体_GB2312" w:cs="楷体_GB2312"/>
          <w:sz w:val="32"/>
          <w:szCs w:val="32"/>
        </w:rPr>
        <w:t>2015</w:t>
      </w:r>
      <w:r>
        <w:rPr>
          <w:rFonts w:ascii="仿宋_GB2312" w:eastAsia="仿宋_GB2312" w:hAnsi="楷体_GB2312" w:cs="楷体_GB2312" w:hint="eastAsia"/>
          <w:sz w:val="32"/>
          <w:szCs w:val="32"/>
        </w:rPr>
        <w:t>］</w:t>
      </w:r>
      <w:r>
        <w:rPr>
          <w:rFonts w:ascii="仿宋_GB2312" w:eastAsia="仿宋_GB2312" w:hAnsi="楷体_GB2312" w:cs="楷体_GB2312"/>
          <w:sz w:val="32"/>
          <w:szCs w:val="32"/>
        </w:rPr>
        <w:t>5</w:t>
      </w:r>
      <w:r>
        <w:rPr>
          <w:rFonts w:ascii="仿宋_GB2312" w:eastAsia="仿宋_GB2312" w:hAnsi="楷体_GB2312" w:cs="楷体_GB2312" w:hint="eastAsia"/>
          <w:sz w:val="32"/>
          <w:szCs w:val="32"/>
        </w:rPr>
        <w:t>号、［</w:t>
      </w:r>
      <w:r>
        <w:rPr>
          <w:rFonts w:ascii="仿宋_GB2312" w:eastAsia="仿宋_GB2312" w:hAnsi="楷体_GB2312" w:cs="楷体_GB2312"/>
          <w:sz w:val="32"/>
          <w:szCs w:val="32"/>
        </w:rPr>
        <w:t>2016</w:t>
      </w:r>
      <w:r>
        <w:rPr>
          <w:rFonts w:ascii="仿宋_GB2312" w:eastAsia="仿宋_GB2312" w:hAnsi="楷体_GB2312" w:cs="楷体_GB2312" w:hint="eastAsia"/>
          <w:sz w:val="32"/>
          <w:szCs w:val="32"/>
        </w:rPr>
        <w:t>］</w:t>
      </w:r>
      <w:r>
        <w:rPr>
          <w:rFonts w:ascii="仿宋_GB2312" w:eastAsia="仿宋_GB2312" w:hAnsi="楷体_GB2312" w:cs="楷体_GB2312"/>
          <w:sz w:val="32"/>
          <w:szCs w:val="32"/>
        </w:rPr>
        <w:t>20</w:t>
      </w:r>
      <w:r>
        <w:rPr>
          <w:rFonts w:ascii="仿宋_GB2312" w:eastAsia="仿宋_GB2312" w:hAnsi="楷体_GB2312" w:cs="楷体_GB2312" w:hint="eastAsia"/>
          <w:sz w:val="32"/>
          <w:szCs w:val="32"/>
        </w:rPr>
        <w:t>号、［</w:t>
      </w:r>
      <w:r>
        <w:rPr>
          <w:rFonts w:ascii="仿宋_GB2312" w:eastAsia="仿宋_GB2312" w:hAnsi="楷体_GB2312" w:cs="楷体_GB2312"/>
          <w:sz w:val="32"/>
          <w:szCs w:val="32"/>
        </w:rPr>
        <w:t>2018</w:t>
      </w:r>
      <w:r>
        <w:rPr>
          <w:rFonts w:ascii="仿宋_GB2312" w:eastAsia="仿宋_GB2312" w:hAnsi="楷体_GB2312" w:cs="楷体_GB2312" w:hint="eastAsia"/>
          <w:sz w:val="32"/>
          <w:szCs w:val="32"/>
        </w:rPr>
        <w:t>］</w:t>
      </w:r>
      <w:r>
        <w:rPr>
          <w:rFonts w:ascii="仿宋_GB2312" w:eastAsia="仿宋_GB2312" w:hAnsi="楷体_GB2312" w:cs="楷体_GB2312"/>
          <w:sz w:val="32"/>
          <w:szCs w:val="32"/>
        </w:rPr>
        <w:t>5</w:t>
      </w:r>
      <w:r>
        <w:rPr>
          <w:rFonts w:ascii="仿宋_GB2312" w:eastAsia="仿宋_GB2312" w:hAnsi="楷体_GB2312" w:cs="楷体_GB2312" w:hint="eastAsia"/>
          <w:sz w:val="32"/>
          <w:szCs w:val="32"/>
        </w:rPr>
        <w:t>号、［</w:t>
      </w:r>
      <w:r>
        <w:rPr>
          <w:rFonts w:ascii="仿宋_GB2312" w:eastAsia="仿宋_GB2312" w:hAnsi="楷体_GB2312" w:cs="楷体_GB2312"/>
          <w:sz w:val="32"/>
          <w:szCs w:val="32"/>
        </w:rPr>
        <w:t>2020</w:t>
      </w:r>
      <w:r>
        <w:rPr>
          <w:rFonts w:ascii="仿宋_GB2312" w:eastAsia="仿宋_GB2312" w:hAnsi="楷体_GB2312" w:cs="楷体_GB2312" w:hint="eastAsia"/>
          <w:sz w:val="32"/>
          <w:szCs w:val="32"/>
        </w:rPr>
        <w:t>］</w:t>
      </w:r>
      <w:r>
        <w:rPr>
          <w:rFonts w:ascii="仿宋_GB2312" w:eastAsia="仿宋_GB2312" w:hAnsi="楷体_GB2312" w:cs="楷体_GB2312"/>
          <w:sz w:val="32"/>
          <w:szCs w:val="32"/>
        </w:rPr>
        <w:t>8</w:t>
      </w:r>
      <w:r>
        <w:rPr>
          <w:rFonts w:ascii="仿宋_GB2312" w:eastAsia="仿宋_GB2312" w:hAnsi="楷体_GB2312" w:cs="楷体_GB2312" w:hint="eastAsia"/>
          <w:sz w:val="32"/>
          <w:szCs w:val="32"/>
        </w:rPr>
        <w:t>号文件专门对此建议做了答复，我对此表示十分感谢。</w:t>
      </w:r>
    </w:p>
    <w:p w:rsidR="00A53445" w:rsidRDefault="000B1744">
      <w:pPr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市道“掌二线”南连余姚二六市，沿线与横筋线、</w:t>
      </w:r>
      <w:r>
        <w:rPr>
          <w:rFonts w:ascii="仿宋_GB2312" w:eastAsia="仿宋_GB2312" w:hAnsi="楷体_GB2312" w:cs="楷体_GB2312"/>
          <w:sz w:val="32"/>
          <w:szCs w:val="32"/>
        </w:rPr>
        <w:t>329</w:t>
      </w:r>
      <w:r>
        <w:rPr>
          <w:rFonts w:ascii="仿宋_GB2312" w:eastAsia="仿宋_GB2312" w:hAnsi="楷体_GB2312" w:cs="楷体_GB2312" w:hint="eastAsia"/>
          <w:sz w:val="32"/>
          <w:szCs w:val="32"/>
        </w:rPr>
        <w:t>国道、中横线等主骨干公路相交，是我市“七横十一纵”规划公路网之一“纵”，是“十二五”综合交通发展规划中争取实施类项目。</w:t>
      </w:r>
    </w:p>
    <w:p w:rsidR="00A53445" w:rsidRDefault="000B1744">
      <w:pPr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早日贯通余姚二六市至掌起段新国道（中横线）公路，它将缓解区域交通拥挤，解决沿线老百姓出行不便，改善掌起区域交通环境，发挥区域整体优势，推动掌起区域经济、社会事业综合发展则显得尤为重要和迫切，主要表现在：</w:t>
      </w:r>
    </w:p>
    <w:p w:rsidR="00A53445" w:rsidRDefault="000B1744">
      <w:pPr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一是《宁波市“十三五”综合交通发展规划》中已将甬慈轻轨线列入宁波市“十三五”交通建设实施</w:t>
      </w:r>
      <w:r>
        <w:rPr>
          <w:rFonts w:ascii="仿宋_GB2312" w:eastAsia="仿宋_GB2312" w:hAnsi="楷体_GB2312" w:cs="楷体_GB2312" w:hint="eastAsia"/>
          <w:sz w:val="32"/>
          <w:szCs w:val="32"/>
        </w:rPr>
        <w:t>类项目之一，甬慈轻轨沿线将设“掌起站”，站址规划在掌起段新国道（中横线）附近。</w:t>
      </w:r>
      <w:r>
        <w:rPr>
          <w:rFonts w:ascii="仿宋_GB2312" w:eastAsia="仿宋_GB2312" w:hAnsi="楷体_GB2312" w:cs="楷体_GB2312"/>
          <w:sz w:val="32"/>
          <w:szCs w:val="32"/>
        </w:rPr>
        <w:lastRenderedPageBreak/>
        <w:t>2019</w:t>
      </w:r>
      <w:r>
        <w:rPr>
          <w:rFonts w:ascii="仿宋_GB2312" w:eastAsia="仿宋_GB2312" w:hAnsi="楷体_GB2312" w:cs="楷体_GB2312" w:hint="eastAsia"/>
          <w:sz w:val="32"/>
          <w:szCs w:val="32"/>
        </w:rPr>
        <w:t>年</w:t>
      </w:r>
      <w:r>
        <w:rPr>
          <w:rFonts w:ascii="仿宋_GB2312" w:eastAsia="仿宋_GB2312" w:hAnsi="楷体_GB2312" w:cs="楷体_GB2312"/>
          <w:sz w:val="32"/>
          <w:szCs w:val="32"/>
        </w:rPr>
        <w:t>12</w:t>
      </w:r>
      <w:r>
        <w:rPr>
          <w:rFonts w:ascii="仿宋_GB2312" w:eastAsia="仿宋_GB2312" w:hAnsi="楷体_GB2312" w:cs="楷体_GB2312" w:hint="eastAsia"/>
          <w:sz w:val="32"/>
          <w:szCs w:val="32"/>
        </w:rPr>
        <w:t>月，掌起镇与市旅游集团共同组建了宁波后茅山旅游投资开发有限公司，倾情打造全域旅游新标杆，而掌二线北延至新国道（中横线）公路，将衔接后茅山的道路，既能发展全域旅游，又能缓解全域旅游带来的交通压力。</w:t>
      </w:r>
    </w:p>
    <w:p w:rsidR="00A53445" w:rsidRDefault="000B1744">
      <w:pPr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二是贯通余姚二六市至掌起段新国道（中横线）公路，可实现掌起镇与宁波（江北）、余姚、老</w:t>
      </w:r>
      <w:r>
        <w:rPr>
          <w:rFonts w:ascii="仿宋_GB2312" w:eastAsia="仿宋_GB2312" w:hAnsi="楷体_GB2312" w:cs="楷体_GB2312"/>
          <w:sz w:val="32"/>
          <w:szCs w:val="32"/>
        </w:rPr>
        <w:t>329</w:t>
      </w:r>
      <w:r>
        <w:rPr>
          <w:rFonts w:ascii="仿宋_GB2312" w:eastAsia="仿宋_GB2312" w:hAnsi="楷体_GB2312" w:cs="楷体_GB2312" w:hint="eastAsia"/>
          <w:sz w:val="32"/>
          <w:szCs w:val="32"/>
        </w:rPr>
        <w:t>国道、新国道（中横线）、滨海大道的道路互通，完善我市东部地区的交通联网，能发挥区域整体优势，推动区域整体协同发展具有重要意义。</w:t>
      </w:r>
    </w:p>
    <w:p w:rsidR="00A53445" w:rsidRDefault="000B1744">
      <w:pPr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三是掌</w:t>
      </w:r>
      <w:r>
        <w:rPr>
          <w:rFonts w:ascii="仿宋_GB2312" w:eastAsia="仿宋_GB2312" w:hAnsi="楷体_GB2312" w:cs="楷体_GB2312" w:hint="eastAsia"/>
          <w:sz w:val="32"/>
          <w:szCs w:val="32"/>
        </w:rPr>
        <w:t>二线北延至新国道（中横线）公路建设，是我市东部掌起区域“三横一纵”公路网建设的重要工程和必要工程【“三横”指：沿山旅游精品线、老</w:t>
      </w:r>
      <w:r>
        <w:rPr>
          <w:rFonts w:ascii="仿宋_GB2312" w:eastAsia="仿宋_GB2312" w:hAnsi="楷体_GB2312" w:cs="楷体_GB2312"/>
          <w:sz w:val="32"/>
          <w:szCs w:val="32"/>
        </w:rPr>
        <w:t>329</w:t>
      </w:r>
      <w:r>
        <w:rPr>
          <w:rFonts w:ascii="仿宋_GB2312" w:eastAsia="仿宋_GB2312" w:hAnsi="楷体_GB2312" w:cs="楷体_GB2312" w:hint="eastAsia"/>
          <w:sz w:val="32"/>
          <w:szCs w:val="32"/>
        </w:rPr>
        <w:t>国道、新国道（中横线）；“一纵”指：掌二线北延至新国道（中横线）连接线】，“一纵”穿通“三横”，为打造沿山旅游精品线提供重要的交通通道，缓解</w:t>
      </w:r>
      <w:r>
        <w:rPr>
          <w:rFonts w:ascii="仿宋_GB2312" w:eastAsia="仿宋_GB2312" w:hAnsi="楷体_GB2312" w:cs="楷体_GB2312"/>
          <w:sz w:val="32"/>
          <w:szCs w:val="32"/>
        </w:rPr>
        <w:t>329</w:t>
      </w:r>
      <w:r>
        <w:rPr>
          <w:rFonts w:ascii="仿宋_GB2312" w:eastAsia="仿宋_GB2312" w:hAnsi="楷体_GB2312" w:cs="楷体_GB2312" w:hint="eastAsia"/>
          <w:sz w:val="32"/>
          <w:szCs w:val="32"/>
        </w:rPr>
        <w:t>老国道的交通压力，接攘中横线、轻轨及北侧古窑浦桃子园和大片的农业蔬菜产业区块，对于发展东部地区经济、旅游、交通等都显得尤为必要。</w:t>
      </w:r>
    </w:p>
    <w:p w:rsidR="00A53445" w:rsidRDefault="000B1744">
      <w:pPr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四是掌起镇东临的龙山镇有五条南北贯通中横线的道路，有灵范线、方松线、施山线、达蓬北路、灵峰路，西临的观</w:t>
      </w:r>
      <w:r>
        <w:rPr>
          <w:rFonts w:ascii="仿宋_GB2312" w:eastAsia="仿宋_GB2312" w:hAnsi="楷体_GB2312" w:cs="楷体_GB2312" w:hint="eastAsia"/>
          <w:sz w:val="32"/>
          <w:szCs w:val="32"/>
        </w:rPr>
        <w:t>海卫镇有二条南北贯通中横线的三海路和世纪大道，而掌起镇至今没有一条南北贯通的大道，只有一条由机耕路扩建成</w:t>
      </w:r>
      <w:r>
        <w:rPr>
          <w:rFonts w:ascii="仿宋_GB2312" w:eastAsia="仿宋_GB2312" w:hAnsi="楷体_GB2312" w:cs="楷体_GB2312"/>
          <w:sz w:val="32"/>
          <w:szCs w:val="32"/>
        </w:rPr>
        <w:t>6-7</w:t>
      </w:r>
      <w:r>
        <w:rPr>
          <w:rFonts w:ascii="仿宋_GB2312" w:eastAsia="仿宋_GB2312" w:hAnsi="楷体_GB2312" w:cs="楷体_GB2312" w:hint="eastAsia"/>
          <w:sz w:val="32"/>
          <w:szCs w:val="32"/>
        </w:rPr>
        <w:t>米的道路，这已远远不能满足掌起镇的经济发展、建设美丽新农村和打造全域旅游新标杆的需要。</w:t>
      </w:r>
    </w:p>
    <w:p w:rsidR="00A53445" w:rsidRDefault="000B1744">
      <w:pPr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lastRenderedPageBreak/>
        <w:t>因此，我提二点建议：</w:t>
      </w:r>
    </w:p>
    <w:p w:rsidR="00A53445" w:rsidRDefault="000B174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将“掌二线北延至新国道（中横线）”公路建设列为市级项目市级实施，加快推动该项目实施时序需经市政府决策的进程。</w:t>
      </w:r>
    </w:p>
    <w:p w:rsidR="00A53445" w:rsidRDefault="000B174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楷体_GB2312" w:cs="楷体_GB2312"/>
          <w:sz w:val="32"/>
          <w:szCs w:val="32"/>
        </w:rPr>
      </w:pPr>
      <w:r>
        <w:rPr>
          <w:rFonts w:ascii="仿宋_GB2312" w:eastAsia="仿宋_GB2312" w:hAnsi="楷体_GB2312" w:cs="楷体_GB2312" w:hint="eastAsia"/>
          <w:sz w:val="32"/>
          <w:szCs w:val="32"/>
        </w:rPr>
        <w:t>加快落地推进公路建设的工作进度，要求在</w:t>
      </w:r>
      <w:r>
        <w:rPr>
          <w:rFonts w:ascii="仿宋_GB2312" w:eastAsia="仿宋_GB2312" w:hAnsi="楷体_GB2312" w:cs="楷体_GB2312"/>
          <w:sz w:val="32"/>
          <w:szCs w:val="32"/>
        </w:rPr>
        <w:t>2021</w:t>
      </w:r>
      <w:r>
        <w:rPr>
          <w:rFonts w:ascii="仿宋_GB2312" w:eastAsia="仿宋_GB2312" w:hAnsi="楷体_GB2312" w:cs="楷体_GB2312" w:hint="eastAsia"/>
          <w:sz w:val="32"/>
          <w:szCs w:val="32"/>
        </w:rPr>
        <w:t>年完成前期准备工作并动工，至</w:t>
      </w:r>
      <w:r>
        <w:rPr>
          <w:rFonts w:ascii="仿宋_GB2312" w:eastAsia="仿宋_GB2312" w:hAnsi="楷体_GB2312" w:cs="楷体_GB2312"/>
          <w:sz w:val="32"/>
          <w:szCs w:val="32"/>
        </w:rPr>
        <w:t>2022</w:t>
      </w:r>
      <w:r>
        <w:rPr>
          <w:rFonts w:ascii="仿宋_GB2312" w:eastAsia="仿宋_GB2312" w:hAnsi="楷体_GB2312" w:cs="楷体_GB2312" w:hint="eastAsia"/>
          <w:sz w:val="32"/>
          <w:szCs w:val="32"/>
        </w:rPr>
        <w:t>年底前全线完工通车。</w:t>
      </w:r>
    </w:p>
    <w:p w:rsidR="00A53445" w:rsidRDefault="00A53445">
      <w:pPr>
        <w:spacing w:line="560" w:lineRule="exact"/>
        <w:rPr>
          <w:rFonts w:ascii="仿宋_GB2312" w:eastAsia="仿宋_GB2312" w:hAnsi="楷体_GB2312" w:cs="楷体_GB2312"/>
          <w:sz w:val="32"/>
          <w:szCs w:val="32"/>
        </w:rPr>
      </w:pPr>
    </w:p>
    <w:p w:rsidR="00A53445" w:rsidRDefault="00A53445">
      <w:pPr>
        <w:spacing w:line="560" w:lineRule="exact"/>
        <w:ind w:firstLineChars="1750" w:firstLine="5600"/>
        <w:rPr>
          <w:rFonts w:ascii="仿宋_GB2312" w:eastAsia="仿宋_GB2312" w:hAnsi="楷体_GB2312" w:cs="楷体_GB2312"/>
          <w:sz w:val="32"/>
          <w:szCs w:val="32"/>
        </w:rPr>
      </w:pPr>
    </w:p>
    <w:sectPr w:rsidR="00A53445" w:rsidSect="000B1744">
      <w:footerReference w:type="even" r:id="rId8"/>
      <w:footerReference w:type="default" r:id="rId9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445" w:rsidRDefault="00A53445" w:rsidP="00A53445">
      <w:r>
        <w:separator/>
      </w:r>
    </w:p>
  </w:endnote>
  <w:endnote w:type="continuationSeparator" w:id="1">
    <w:p w:rsidR="00A53445" w:rsidRDefault="00A53445" w:rsidP="00A53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445" w:rsidRDefault="00A5344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B17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3445" w:rsidRDefault="00A5344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445" w:rsidRDefault="00A5344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53445" w:rsidRDefault="00A53445">
                <w:pPr>
                  <w:pStyle w:val="a3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 w:rsidR="000B1744">
                  <w:rPr>
                    <w:rStyle w:val="a6"/>
                  </w:rPr>
                  <w:instrText xml:space="preserve">PAGE  </w:instrText>
                </w:r>
                <w:r>
                  <w:rPr>
                    <w:rStyle w:val="a6"/>
                  </w:rPr>
                  <w:fldChar w:fldCharType="separate"/>
                </w:r>
                <w:r w:rsidR="000B1744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445" w:rsidRDefault="00A53445" w:rsidP="00A53445">
      <w:r>
        <w:separator/>
      </w:r>
    </w:p>
  </w:footnote>
  <w:footnote w:type="continuationSeparator" w:id="1">
    <w:p w:rsidR="00A53445" w:rsidRDefault="00A53445" w:rsidP="00A53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212A2"/>
    <w:multiLevelType w:val="singleLevel"/>
    <w:tmpl w:val="5C2212A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445"/>
    <w:rsid w:val="000B1744"/>
    <w:rsid w:val="00A5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5344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locked/>
    <w:rsid w:val="00A534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locked/>
    <w:rsid w:val="00A534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rsid w:val="00A53445"/>
    <w:pPr>
      <w:spacing w:beforeAutospacing="1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qFormat/>
    <w:locked/>
    <w:rsid w:val="00A53445"/>
    <w:rPr>
      <w:rFonts w:cs="Times New Roman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A53445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1094</Words>
  <Characters>61</Characters>
  <Application>Microsoft Office Word</Application>
  <DocSecurity>0</DocSecurity>
  <Lines>1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17</cp:revision>
  <cp:lastPrinted>2021-01-31T13:05:00Z</cp:lastPrinted>
  <dcterms:created xsi:type="dcterms:W3CDTF">2014-10-29T20:08:00Z</dcterms:created>
  <dcterms:modified xsi:type="dcterms:W3CDTF">2021-02-02T03:22:00Z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2052-11.4.0</vt:lpwstr>
  </property>
</Properties>
</file>