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eastAsia="仿宋_GB2312"/>
          <w:b/>
          <w:bCs/>
          <w:sz w:val="36"/>
        </w:rPr>
      </w:pPr>
      <w:r>
        <w:rPr>
          <w:rFonts w:hint="eastAsia" w:ascii="仿宋_GB2312" w:eastAsia="仿宋_GB2312"/>
          <w:b/>
          <w:sz w:val="32"/>
        </w:rPr>
        <w:t>类别号标记：</w:t>
      </w:r>
      <w:r>
        <w:rPr>
          <w:rFonts w:hint="eastAsia"/>
          <w:b/>
          <w:sz w:val="32"/>
          <w:lang w:val="en-US" w:eastAsia="zh-CN"/>
        </w:rPr>
        <w:t>A</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840" w:lineRule="exact"/>
        <w:rPr>
          <w:rFonts w:hint="eastAsia" w:ascii="宋体" w:hAnsi="宋体" w:eastAsia="宋体" w:cs="宋体"/>
          <w:b/>
          <w:bCs/>
          <w:color w:val="FF0000"/>
          <w:spacing w:val="-14"/>
          <w:w w:val="80"/>
          <w:sz w:val="72"/>
          <w:szCs w:val="72"/>
        </w:rPr>
      </w:pPr>
      <w:r>
        <w:rPr>
          <w:rFonts w:hint="eastAsia" w:ascii="宋体" w:hAnsi="宋体" w:eastAsia="宋体" w:cs="宋体"/>
          <w:b/>
          <w:bCs/>
          <w:color w:val="FF0000"/>
          <w:spacing w:val="-17"/>
          <w:w w:val="80"/>
          <w:sz w:val="72"/>
          <w:szCs w:val="72"/>
        </w:rPr>
        <w:t>慈溪市人力资源和社会保障局文件</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560" w:lineRule="exact"/>
        <w:jc w:val="center"/>
        <w:rPr>
          <w:rFonts w:hint="eastAsia" w:ascii="仿宋_GB2312" w:eastAsia="仿宋_GB2312"/>
          <w:sz w:val="32"/>
          <w:szCs w:val="32"/>
        </w:rPr>
      </w:pPr>
    </w:p>
    <w:tbl>
      <w:tblPr>
        <w:tblStyle w:val="7"/>
        <w:tblpPr w:leftFromText="180" w:rightFromText="180" w:vertAnchor="text" w:horzAnchor="page" w:tblpX="1627" w:tblpY="80"/>
        <w:tblOverlap w:val="never"/>
        <w:tblW w:w="9060" w:type="dxa"/>
        <w:tblInd w:w="0" w:type="dxa"/>
        <w:tblBorders>
          <w:top w:val="none" w:color="auto" w:sz="0" w:space="0"/>
          <w:left w:val="none" w:color="auto" w:sz="0" w:space="0"/>
          <w:bottom w:val="single" w:color="FF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single" w:color="FF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060" w:type="dxa"/>
            <w:tcBorders>
              <w:tl2br w:val="nil"/>
              <w:tr2bl w:val="nil"/>
            </w:tcBorders>
            <w:noWrap w:val="0"/>
            <w:vAlign w:val="top"/>
          </w:tcPr>
          <w:p>
            <w:pPr>
              <w:tabs>
                <w:tab w:val="left" w:pos="360"/>
                <w:tab w:val="left" w:pos="7920"/>
                <w:tab w:val="left" w:pos="8200"/>
              </w:tabs>
              <w:spacing w:line="560" w:lineRule="exact"/>
              <w:rPr>
                <w:rFonts w:hint="eastAsia" w:ascii="仿宋_GB2312" w:eastAsia="仿宋_GB2312"/>
                <w:sz w:val="32"/>
                <w:szCs w:val="32"/>
              </w:rPr>
            </w:pPr>
            <w:r>
              <w:rPr>
                <w:rFonts w:hint="eastAsia" w:ascii="仿宋_GB2312" w:hAnsi="宋体" w:eastAsia="仿宋_GB2312"/>
                <w:sz w:val="32"/>
                <w:szCs w:val="32"/>
              </w:rPr>
              <w:t xml:space="preserve">   慈人社</w:t>
            </w:r>
            <w:r>
              <w:rPr>
                <w:rFonts w:hint="eastAsia"/>
                <w:sz w:val="32"/>
                <w:szCs w:val="32"/>
                <w:lang w:val="en-US" w:eastAsia="zh-CN"/>
              </w:rPr>
              <w:t>建</w:t>
            </w:r>
            <w:r>
              <w:rPr>
                <w:rFonts w:hint="eastAsia" w:ascii="仿宋_GB2312" w:hAnsi="宋体" w:eastAsia="仿宋_GB2312"/>
                <w:sz w:val="32"/>
                <w:szCs w:val="32"/>
              </w:rPr>
              <w:t>〔20</w:t>
            </w:r>
            <w:r>
              <w:rPr>
                <w:rFonts w:hint="eastAsia"/>
                <w:sz w:val="32"/>
                <w:szCs w:val="32"/>
                <w:lang w:val="en-US" w:eastAsia="zh-CN"/>
              </w:rPr>
              <w:t>23</w:t>
            </w:r>
            <w:r>
              <w:rPr>
                <w:rFonts w:hint="eastAsia" w:ascii="仿宋_GB2312" w:hAnsi="宋体" w:eastAsia="仿宋_GB2312"/>
                <w:sz w:val="32"/>
                <w:szCs w:val="32"/>
              </w:rPr>
              <w:t>〕</w:t>
            </w:r>
            <w:r>
              <w:rPr>
                <w:rFonts w:hint="eastAsia"/>
                <w:sz w:val="32"/>
                <w:szCs w:val="32"/>
                <w:lang w:val="en-US" w:eastAsia="zh-CN"/>
              </w:rPr>
              <w:t>6</w:t>
            </w:r>
            <w:r>
              <w:rPr>
                <w:rFonts w:hint="eastAsia" w:ascii="仿宋_GB2312" w:hAnsi="宋体" w:eastAsia="仿宋_GB2312"/>
                <w:sz w:val="32"/>
                <w:szCs w:val="32"/>
              </w:rPr>
              <w:t>号               签发人：</w:t>
            </w:r>
            <w:r>
              <w:rPr>
                <w:rFonts w:hint="eastAsia" w:ascii="仿宋" w:hAnsi="仿宋" w:eastAsia="仿宋"/>
                <w:sz w:val="32"/>
              </w:rPr>
              <w:t>沈维江</w:t>
            </w:r>
          </w:p>
        </w:tc>
      </w:tr>
    </w:tbl>
    <w:p>
      <w:pPr>
        <w:keepNext w:val="0"/>
        <w:keepLines w:val="0"/>
        <w:pageBreakBefore w:val="0"/>
        <w:widowControl w:val="0"/>
        <w:kinsoku/>
        <w:wordWrap/>
        <w:overflowPunct/>
        <w:topLinePunct w:val="0"/>
        <w:autoSpaceDE/>
        <w:autoSpaceDN/>
        <w:bidi w:val="0"/>
        <w:adjustRightInd/>
        <w:snapToGrid/>
        <w:spacing w:before="0" w:beforeLines="0" w:after="156" w:afterLines="50" w:line="640" w:lineRule="exact"/>
        <w:ind w:left="0" w:leftChars="0" w:right="0" w:rightChars="0" w:firstLine="0" w:firstLineChars="0"/>
        <w:jc w:val="center"/>
        <w:textAlignment w:val="auto"/>
        <w:outlineLvl w:val="9"/>
        <w:rPr>
          <w:rFonts w:hint="eastAsia" w:ascii="仿宋_GB2312" w:hAnsi="宋体" w:eastAsia="仿宋_GB2312"/>
          <w:sz w:val="32"/>
          <w:szCs w:val="32"/>
        </w:rPr>
      </w:pPr>
    </w:p>
    <w:p>
      <w:pPr>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对市十八届人大二次会议第123号建议的答复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32"/>
          <w:szCs w:val="32"/>
        </w:rPr>
      </w:pPr>
      <w:r>
        <w:rPr>
          <w:rFonts w:hint="eastAsia"/>
          <w:sz w:val="32"/>
          <w:szCs w:val="32"/>
        </w:rPr>
        <w:t>孙继国代表：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您提出的《关于妥善化解劳动争议纠纷的建议》已收悉，经与市法院、市检察院认真研究，现答复如下：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一、我市劳动纠纷化解工作的基本情况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近年来，在市委、市政府的正确领导下，我市劳动纠纷多元化解机制不断完善。围绕“预防为主、基层为主、调解为主”的工作思路，整合社会各方资源，合理预防化解劳动纠纷；立足“依法高效化解劳动纠纷”的目标任务，深入推动劳动争议调解仲裁专业化、规范化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二、加强劳动纠纷化解工作的具体做法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一）强化劳动纠纷预防指导，规范企业用工管理。一是加大法律宣传力度，通过典型案例发布、专题宣传、送法入基层、送法入企等多种途径指导用人单位依法合规用工，引导劳动者依法理性表达诉求。近年来，市仲裁院多次选派业务骨干赴全市各镇（街道）为企业经营者、人事专员开展劳动法律法规授课，结合具体案例指导用人单位规避管理风险。二是推行仲裁建议书、司法建议书、信用承诺书等制度，指导用人单位自主完善劳动关系沟通协商机制，从源头上防范用人单位与劳动者的矛盾纠纷，为构建良好的营商环境打下坚实的基础。三是市法院建立一批商会“共享法庭”，形成联系法官与各商会定向联络机制，通过实地走访、案例宣讲等方式及时了解民营企业司法需求，高效提供法律帮扶，促进涉企纠纷多元化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二）加强劳动纠纷源头治理，夯实基层调解基础。一是加强基层调解组织建设，进一步规范基层调解中心的制度建设、基础建设，积极打造金牌调解组织，促使劳动纠纷在基层得到有效化解治理，让劳动纠纷解决在萌芽状态。目前，我市已有龙山等8家基层调解组织被评为宁波市金牌劳动人事争议调解组织。二是充分挖掘基层调解组织力量全程参与仲裁案件调解，积极发挥各类基层调解组织、“共享法庭”及网格员、网格法官作用，及时开展案前调解，力争将劳动纠纷化解在基层和萌芽状态。同时加强调解仲裁衔接，实现案件信息无缝对接，夯实调解基础。去年市仲裁院和各基层组织共调解处理好案件3616起，调解成功率94.1%，实现了主动出击化解矛盾，提升了仲裁的办案效能。三是完善劳动争议特邀调解与委托委派调解制度，与市总工会充分对接，积极吸纳专业精良、素质过硬并具有劳动争议化解能力的调解组织和调解员加入特邀调解名册，不断提升诉前调处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三）加大多部门协作力度，完善多元化解机制。一是完善裁审执衔接制度，统一裁量尺度。市人力社保局与市人民法院建立裁审执衔接机制，设立“共享法庭”服务点，以劳动关系预警预防预控、劳动争议调裁诉执联动化解为主要内容，通过联席会议制度，就双方近年来在劳动争议中的事实认定难点、法律法规的理解与使用、自由裁量权的把握、执行阶段的难题与困难开展多次沟通交流，进一步落实了裁审执信息数据的互通共享，对实现劳动争议受理范围一致化、审理标准统一化形成解决合力。二是完善群体性欠薪案件处理机制，合力化解重大纠纷。市人力社保局与市检察院联合会签《关于深化农民工工资支付等领域检察监督和劳动监察协作机制的实施意见》，对因经营管理、政策调整、时长变化等因素导致用人单位支付工资确有困难的，市人力社保局和市检察院通力协作配合，引导有和解意愿的农民工与用人单位达成分期付款等和解协议，共渡难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三、下一步工作打算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（一）规范基层调解队伍建设，提升劳动纠纷调解效能。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32"/>
          <w:szCs w:val="32"/>
        </w:rPr>
      </w:pPr>
      <w:r>
        <w:rPr>
          <w:rFonts w:hint="eastAsia"/>
          <w:sz w:val="32"/>
          <w:szCs w:val="32"/>
        </w:rPr>
        <w:t>针对基层调解的特点，开展有针对性的培训，提升调解员的业务能力和专业化水平，规范基层劳动争议调解各项业务的操作规程和制度，努力使基层劳动争议调解工作步入规范化轨道，最大限度地将劳动争议平稳化解在基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（二）强化劳动法律法规宣传，打造调解仲裁服务新样板。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发布一批具有典型指导意义的劳动争议案例，强化劳动争议“以案释法”；开展“仲裁员进园区”活动，积极探索将劳动人事争议调解仲裁工作向企业用工聚集村（社区）、行业协会、工业园区等延伸，打造调解仲裁服务新样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（三）完善劳动争议裁审衔接，提高联动机制处理效能。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建立定期联席会议制度，逐步健全裁审受理范围一致、裁审标准统一、裁审程序有效衔接的新规则。通过法律知识的共通共享、裁审思路的互联互动，定期沟通案件处理情况，研判劳动人事争议处理形势，从助力经济社会健康平稳发展出发，着力平衡保护劳动者合法权益和企业经营自主权，不断推动构建和谐劳动关系。</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32"/>
          <w:szCs w:val="32"/>
        </w:rPr>
      </w:pPr>
      <w:r>
        <w:rPr>
          <w:rFonts w:hint="eastAsia"/>
          <w:sz w:val="32"/>
          <w:szCs w:val="32"/>
        </w:rPr>
        <w:t xml:space="preserve">    近年来，我局在妥善化解劳动纠纷方面做了一定的工作，也取得了一些成绩，但与政府的要求、群众的期望还有不少差距。我们将以这次建议为契机，进一步加强劳动纠纷调处工作，同时做好源头治理和裁审衔接，竭尽全力保障企业和劳动者的合法权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最后，感谢您对我们工作的关心和支持。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32"/>
          <w:szCs w:val="32"/>
        </w:rPr>
      </w:pPr>
    </w:p>
    <w:p>
      <w:pPr>
        <w:pStyle w:val="2"/>
        <w:rPr>
          <w:rFonts w:hint="eastAsia"/>
          <w:sz w:val="32"/>
          <w:szCs w:val="32"/>
        </w:rPr>
      </w:pPr>
    </w:p>
    <w:p>
      <w:pPr>
        <w:pStyle w:val="2"/>
        <w:rPr>
          <w:rFonts w:hint="eastAsia"/>
          <w:sz w:val="32"/>
          <w:szCs w:val="32"/>
        </w:rPr>
      </w:pPr>
    </w:p>
    <w:p>
      <w:pPr>
        <w:pStyle w:val="4"/>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慈溪市人力</w:t>
      </w:r>
      <w:r>
        <w:rPr>
          <w:rFonts w:hint="eastAsia" w:hAnsi="仿宋_GB2312" w:cs="仿宋_GB2312"/>
          <w:sz w:val="32"/>
          <w:szCs w:val="32"/>
          <w:lang w:val="en-US" w:eastAsia="zh-CN"/>
        </w:rPr>
        <w:t>资源和</w:t>
      </w:r>
      <w:r>
        <w:rPr>
          <w:rFonts w:hint="eastAsia" w:ascii="仿宋_GB2312" w:hAnsi="仿宋_GB2312" w:eastAsia="仿宋_GB2312" w:cs="仿宋_GB2312"/>
          <w:sz w:val="32"/>
          <w:szCs w:val="32"/>
          <w:lang w:val="en-US" w:eastAsia="zh-CN"/>
        </w:rPr>
        <w:t>社</w:t>
      </w:r>
      <w:r>
        <w:rPr>
          <w:rFonts w:hint="eastAsia" w:hAnsi="仿宋_GB2312" w:cs="仿宋_GB2312"/>
          <w:sz w:val="32"/>
          <w:szCs w:val="32"/>
          <w:lang w:val="en-US" w:eastAsia="zh-CN"/>
        </w:rPr>
        <w:t>会</w:t>
      </w:r>
      <w:r>
        <w:rPr>
          <w:rFonts w:hint="eastAsia" w:ascii="仿宋_GB2312" w:hAnsi="仿宋_GB2312" w:eastAsia="仿宋_GB2312" w:cs="仿宋_GB2312"/>
          <w:sz w:val="32"/>
          <w:szCs w:val="32"/>
          <w:lang w:val="en-US" w:eastAsia="zh-CN"/>
        </w:rPr>
        <w:t>保</w:t>
      </w:r>
      <w:r>
        <w:rPr>
          <w:rFonts w:hint="eastAsia" w:hAnsi="仿宋_GB2312" w:cs="仿宋_GB2312"/>
          <w:sz w:val="32"/>
          <w:szCs w:val="32"/>
          <w:lang w:val="en-US" w:eastAsia="zh-CN"/>
        </w:rPr>
        <w:t>障</w:t>
      </w:r>
      <w:r>
        <w:rPr>
          <w:rFonts w:hint="eastAsia" w:ascii="仿宋_GB2312" w:hAnsi="仿宋_GB2312" w:eastAsia="仿宋_GB2312" w:cs="仿宋_GB2312"/>
          <w:sz w:val="32"/>
          <w:szCs w:val="32"/>
          <w:lang w:val="en-US" w:eastAsia="zh-CN"/>
        </w:rPr>
        <w:t>局</w:t>
      </w:r>
    </w:p>
    <w:p>
      <w:pPr>
        <w:pStyle w:val="4"/>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2023年6月</w:t>
      </w:r>
      <w:r>
        <w:rPr>
          <w:rFonts w:hint="eastAsia" w:hAnsi="仿宋_GB2312" w:cs="仿宋_GB2312"/>
          <w:sz w:val="32"/>
          <w:szCs w:val="32"/>
          <w:lang w:val="en-US" w:eastAsia="zh-CN"/>
        </w:rPr>
        <w:t>28</w:t>
      </w:r>
      <w:r>
        <w:rPr>
          <w:rFonts w:hint="eastAsia" w:ascii="仿宋_GB2312" w:hAnsi="仿宋_GB2312" w:eastAsia="仿宋_GB2312" w:cs="仿宋_GB2312"/>
          <w:sz w:val="32"/>
          <w:szCs w:val="32"/>
          <w:lang w:val="en-US" w:eastAsia="zh-CN"/>
        </w:rPr>
        <w:t>日</w:t>
      </w: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　　送：市人大代表工委，市政府办公室，市法院、</w:t>
      </w:r>
    </w:p>
    <w:p>
      <w:pPr>
        <w:pStyle w:val="3"/>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市检察院、龙山镇人大主席团，孙继国代表。</w:t>
      </w:r>
    </w:p>
    <w:p>
      <w:pPr>
        <w:pStyle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人：戎  铁</w:t>
      </w:r>
    </w:p>
    <w:p>
      <w:pPr>
        <w:pStyle w:val="3"/>
        <w:rPr>
          <w:sz w:val="32"/>
          <w:szCs w:val="32"/>
        </w:rPr>
      </w:pPr>
      <w:r>
        <w:rPr>
          <w:rFonts w:hint="eastAsia" w:ascii="仿宋_GB2312" w:hAnsi="仿宋_GB2312" w:eastAsia="仿宋_GB2312" w:cs="仿宋_GB2312"/>
          <w:sz w:val="32"/>
          <w:szCs w:val="32"/>
          <w:lang w:val="en-US" w:eastAsia="zh-CN"/>
        </w:rPr>
        <w:t>联系电话：63938188</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sz w:val="24"/>
                              <w:szCs w:val="24"/>
                              <w:lang w:val="en-US" w:eastAsia="zh-CN"/>
                            </w:rPr>
                          </w:pPr>
                          <w:r>
                            <w:rPr>
                              <w:rFonts w:hint="eastAsia" w:ascii="宋体" w:hAnsi="宋体" w:eastAsia="宋体" w:cs="宋体"/>
                              <w:sz w:val="24"/>
                              <w:szCs w:val="24"/>
                            </w:rPr>
                            <w:t>－</w:t>
                          </w:r>
                          <w:r>
                            <w:rPr>
                              <w:rFonts w:hint="eastAsia" w:eastAsia="宋体"/>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ascii="宋体" w:hAnsi="宋体" w:eastAsia="宋体" w:cs="宋体"/>
                              <w:sz w:val="24"/>
                              <w:szCs w:val="24"/>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_GB2312"/>
                        <w:sz w:val="24"/>
                        <w:szCs w:val="24"/>
                        <w:lang w:val="en-US" w:eastAsia="zh-CN"/>
                      </w:rPr>
                    </w:pPr>
                    <w:r>
                      <w:rPr>
                        <w:rFonts w:hint="eastAsia" w:ascii="宋体" w:hAnsi="宋体" w:eastAsia="宋体" w:cs="宋体"/>
                        <w:sz w:val="24"/>
                        <w:szCs w:val="24"/>
                      </w:rPr>
                      <w:t>－</w:t>
                    </w:r>
                    <w:r>
                      <w:rPr>
                        <w:rFonts w:hint="eastAsia" w:eastAsia="宋体"/>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ascii="宋体" w:hAnsi="宋体" w:eastAsia="宋体" w:cs="宋体"/>
                        <w:sz w:val="24"/>
                        <w:szCs w:val="24"/>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B7F23"/>
    <w:rsid w:val="1AFB068B"/>
    <w:rsid w:val="3B7B7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2"/>
      <w:sz w:val="42"/>
      <w:szCs w:val="4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style>
  <w:style w:type="paragraph" w:styleId="3">
    <w:name w:val="Normal Indent"/>
    <w:basedOn w:val="1"/>
    <w:qFormat/>
    <w:uiPriority w:val="99"/>
    <w:pPr>
      <w:ind w:firstLine="200" w:firstLineChars="200"/>
    </w:pPr>
    <w:rPr>
      <w:rFonts w:ascii="Times New Roman" w:hAnsi="Times New Roman"/>
      <w:szCs w:val="21"/>
    </w:rPr>
  </w:style>
  <w:style w:type="paragraph" w:styleId="4">
    <w:name w:val="Body Text Indent"/>
    <w:basedOn w:val="1"/>
    <w:next w:val="3"/>
    <w:qFormat/>
    <w:uiPriority w:val="0"/>
    <w:pPr>
      <w:ind w:firstLine="615"/>
    </w:pPr>
    <w:rPr>
      <w:rFonts w:ascii="仿宋_GB2312" w:hAnsi="华文仿宋" w:eastAsia="仿宋_GB2312"/>
      <w:sz w:val="3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2023-06-30T02:42:00Z</dcterms:created>
  <dc:creator>顾雄辉</dc:creator>
  <cp:lastModifiedBy>ldj</cp:lastModifiedBy>
  <cp:lastPrinted>2023-06-30T03:27:00Z</cp:lastPrinted>
  <dcterms:modified xsi:type="dcterms:W3CDTF">2023-06-30T06:18:08Z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BA45A9E1660A4A71A2C2E3E57D9C505F</vt:lpwstr>
  </property>
</Properties>
</file>