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关于市第十八届人大一次会议第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285</w:t>
      </w:r>
      <w:r>
        <w:rPr>
          <w:rFonts w:hint="eastAsia" w:ascii="方正小标宋简体" w:eastAsia="方正小标宋简体"/>
          <w:sz w:val="44"/>
          <w:szCs w:val="44"/>
        </w:rPr>
        <w:t>号建议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协办意见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Ans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val="en-US" w:eastAsia="zh-CN"/>
        </w:rPr>
        <w:t>经信</w:t>
      </w:r>
      <w:r>
        <w:rPr>
          <w:rFonts w:hint="eastAsia" w:eastAsia="仿宋_GB2312"/>
          <w:sz w:val="32"/>
          <w:szCs w:val="32"/>
        </w:rPr>
        <w:t>局</w:t>
      </w:r>
      <w:r>
        <w:rPr>
          <w:rFonts w:hAnsi="仿宋_GB2312" w:eastAsia="仿宋_GB2312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市十八届人大一次会议第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号建议《关于强化政府靠前服务，助力企业健康发展的建议》已收悉，现提出如下协办意见：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我局牵头开展我市“三改一拆”专项行动，积极配合做好关于我市旧厂区改造的相关工作。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，我市累计处置违建51.79万平方米，其中拆除违建面积41.97万平方米，其他处置9.82万平方米；三改共改造8.25万平方米，其中城中村5.1万平方米，旧厂区3.15万平方米。通过加强违建管控处置的督查和考核，督促属地镇（街道）持续推进违法建筑处置和拆后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一是强化规划引领，深化小微企业园建设体系。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当根据辖区内产业结构特色，引导小微企业入园，满足个性化要求。根据镇（街道）总体规划，积极构建政府开发、村级开发、上市公司开发、企业联合开发、“工业地产”开发等多元主体、层次丰富、梯次升级的小微企业园体系，努力打造小微企业园“慈溪样板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二是开展治违除患攻坚行动“回头看”。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根据《关于开展安全隐患违法建筑整治集中攻坚行动的通知》（</w:t>
      </w:r>
      <w:r>
        <w:rPr>
          <w:rFonts w:hint="eastAsia" w:ascii="仿宋_GB2312" w:eastAsia="仿宋_GB2312"/>
          <w:sz w:val="32"/>
          <w:szCs w:val="32"/>
        </w:rPr>
        <w:t>慈改拆办〔202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）要求，我市积极</w:t>
      </w:r>
      <w:r>
        <w:rPr>
          <w:rFonts w:hint="eastAsia" w:ascii="仿宋_GB2312" w:hAnsi="仿宋" w:eastAsia="仿宋_GB2312" w:cs="Times New Roman"/>
          <w:sz w:val="32"/>
          <w:szCs w:val="32"/>
        </w:rPr>
        <w:t>开展治违除患集中攻坚行动对2021年已处置的安全隐患违建进行“回头看”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本着对存在安全隐患的违法建筑坚决“零容忍”的态度，</w:t>
      </w:r>
      <w:r>
        <w:rPr>
          <w:rFonts w:hint="eastAsia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巩固整治成果，进一步举一反三、查漏补缺，将治违除患促安全违法建筑专项整治行动向长效化延伸，确保问题不回潮、不反弹。</w:t>
      </w:r>
      <w:r>
        <w:rPr>
          <w:rFonts w:hint="eastAsia" w:ascii="仿宋_GB2312" w:hAnsi="仿宋" w:eastAsia="仿宋_GB2312" w:cs="Times New Roman"/>
          <w:sz w:val="32"/>
          <w:szCs w:val="32"/>
        </w:rPr>
        <w:t>目前已排查并处置安全隐患违建4</w:t>
      </w:r>
      <w:r>
        <w:rPr>
          <w:rFonts w:hint="default" w:ascii="仿宋_GB2312" w:hAnsi="仿宋" w:eastAsia="仿宋_GB2312" w:cs="Times New Roman"/>
          <w:sz w:val="32"/>
          <w:szCs w:val="32"/>
          <w:lang w:val="en-US"/>
        </w:rPr>
        <w:t>55</w:t>
      </w:r>
      <w:r>
        <w:rPr>
          <w:rFonts w:hint="eastAsia" w:ascii="仿宋_GB2312" w:hAnsi="仿宋" w:eastAsia="仿宋_GB2312" w:cs="Times New Roman"/>
          <w:sz w:val="32"/>
          <w:szCs w:val="32"/>
        </w:rPr>
        <w:t>宗5</w:t>
      </w:r>
      <w:r>
        <w:rPr>
          <w:rFonts w:hint="default" w:ascii="仿宋_GB2312" w:hAnsi="仿宋" w:eastAsia="仿宋_GB2312" w:cs="Times New Roman"/>
          <w:sz w:val="32"/>
          <w:szCs w:val="32"/>
          <w:lang w:val="en-US"/>
        </w:rPr>
        <w:t>9.20</w:t>
      </w:r>
      <w:r>
        <w:rPr>
          <w:rFonts w:hint="eastAsia" w:ascii="仿宋_GB2312" w:hAnsi="仿宋" w:eastAsia="仿宋_GB2312" w:cs="Times New Roman"/>
          <w:sz w:val="32"/>
          <w:szCs w:val="32"/>
        </w:rPr>
        <w:t>万平方米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三是深化处置利用。</w:t>
      </w:r>
      <w:bookmarkEnd w:id="0"/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严格依照《关于进一步规范完善全市工业企业用房权属证书补办工作方案》《慈溪市违法建筑分类处置办法》（慈政办发〔2020〕7号）和《慈溪市违法建筑分类处置操作指南（试行）》（慈改拆〔2020〕2号），遵循“能补则补、备案登记、应拆尽拆”原则，对违法建筑进行分类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下一步我局将继续按照工作职责，牵头开展“三改一拆”专项行动，配合做好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企业违建处置、旧厂房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left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慈溪市综合行政执法局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   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63007518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5" w:left="1588" w:header="850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556A4"/>
    <w:rsid w:val="16046B1A"/>
    <w:rsid w:val="16C26718"/>
    <w:rsid w:val="1D4B1293"/>
    <w:rsid w:val="2B981747"/>
    <w:rsid w:val="313450BA"/>
    <w:rsid w:val="504C22D6"/>
    <w:rsid w:val="5C782286"/>
    <w:rsid w:val="6DB720C5"/>
    <w:rsid w:val="72803F50"/>
    <w:rsid w:val="7A7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2022-04-25T07:09:00Z</dcterms:created>
  <dc:creator>Administrator</dc:creator>
  <cp:lastModifiedBy>瓜瓜</cp:lastModifiedBy>
  <dcterms:modified xsi:type="dcterms:W3CDTF">2022-04-26T01:51:43Z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9A978917771F4CF0B0420B8295BD27ED</vt:lpwstr>
  </property>
</Properties>
</file>