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eastAsia="仿宋_GB2312"/>
          <w:b/>
          <w:bCs/>
          <w:sz w:val="36"/>
        </w:rPr>
      </w:pPr>
      <w:r>
        <w:rPr>
          <w:rFonts w:hint="eastAsia" w:ascii="仿宋_GB2312" w:eastAsia="仿宋_GB2312"/>
          <w:b/>
          <w:sz w:val="32"/>
        </w:rPr>
        <w:t>类别号标记：</w:t>
      </w:r>
      <w:r>
        <w:rPr>
          <w:rFonts w:hint="eastAsia"/>
          <w:b/>
          <w:sz w:val="32"/>
          <w:lang w:val="en-US" w:eastAsia="zh-CN"/>
        </w:rPr>
        <w:t>A</w:t>
      </w:r>
    </w:p>
    <w:p>
      <w:pPr>
        <w:tabs>
          <w:tab w:val="left" w:pos="360"/>
          <w:tab w:val="left" w:pos="7920"/>
          <w:tab w:val="left" w:pos="8200"/>
        </w:tabs>
        <w:spacing w:line="560" w:lineRule="exact"/>
        <w:jc w:val="center"/>
        <w:rPr>
          <w:rFonts w:hint="eastAsia" w:ascii="仿宋_GB2312" w:eastAsia="仿宋_GB2312"/>
          <w:sz w:val="32"/>
          <w:szCs w:val="32"/>
        </w:rPr>
      </w:pPr>
    </w:p>
    <w:p>
      <w:pPr>
        <w:tabs>
          <w:tab w:val="left" w:pos="360"/>
          <w:tab w:val="left" w:pos="7920"/>
          <w:tab w:val="left" w:pos="8200"/>
        </w:tabs>
        <w:spacing w:line="840" w:lineRule="exact"/>
        <w:rPr>
          <w:rFonts w:hint="eastAsia" w:ascii="宋体" w:hAnsi="宋体" w:eastAsia="宋体" w:cs="宋体"/>
          <w:b/>
          <w:bCs/>
          <w:color w:val="FF0000"/>
          <w:spacing w:val="-14"/>
          <w:w w:val="80"/>
          <w:sz w:val="72"/>
          <w:szCs w:val="72"/>
        </w:rPr>
      </w:pPr>
      <w:r>
        <w:rPr>
          <w:rFonts w:hint="eastAsia" w:ascii="宋体" w:hAnsi="宋体" w:eastAsia="宋体" w:cs="宋体"/>
          <w:b/>
          <w:bCs/>
          <w:color w:val="FF0000"/>
          <w:spacing w:val="-17"/>
          <w:w w:val="80"/>
          <w:sz w:val="72"/>
          <w:szCs w:val="72"/>
        </w:rPr>
        <w:t>慈溪市人力资源和社会保障局文件</w:t>
      </w:r>
    </w:p>
    <w:p>
      <w:pPr>
        <w:tabs>
          <w:tab w:val="left" w:pos="360"/>
          <w:tab w:val="left" w:pos="7920"/>
          <w:tab w:val="left" w:pos="8200"/>
        </w:tabs>
        <w:spacing w:line="560" w:lineRule="exact"/>
        <w:jc w:val="center"/>
        <w:rPr>
          <w:rFonts w:hint="eastAsia" w:ascii="仿宋_GB2312" w:eastAsia="仿宋_GB2312"/>
          <w:sz w:val="32"/>
          <w:szCs w:val="32"/>
        </w:rPr>
      </w:pPr>
    </w:p>
    <w:p>
      <w:pPr>
        <w:tabs>
          <w:tab w:val="left" w:pos="360"/>
          <w:tab w:val="left" w:pos="7920"/>
          <w:tab w:val="left" w:pos="8200"/>
        </w:tabs>
        <w:spacing w:line="560" w:lineRule="exact"/>
        <w:jc w:val="center"/>
        <w:rPr>
          <w:rFonts w:hint="eastAsia" w:ascii="仿宋_GB2312" w:eastAsia="仿宋_GB2312"/>
          <w:sz w:val="32"/>
          <w:szCs w:val="32"/>
        </w:rPr>
      </w:pPr>
    </w:p>
    <w:tbl>
      <w:tblPr>
        <w:tblStyle w:val="5"/>
        <w:tblpPr w:leftFromText="180" w:rightFromText="180" w:vertAnchor="text" w:horzAnchor="page" w:tblpX="1627" w:tblpY="80"/>
        <w:tblOverlap w:val="never"/>
        <w:tblW w:w="9060" w:type="dxa"/>
        <w:tblInd w:w="0" w:type="dxa"/>
        <w:tblBorders>
          <w:top w:val="none" w:color="auto" w:sz="0"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single" w:color="FF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9060" w:type="dxa"/>
            <w:tcBorders>
              <w:tl2br w:val="nil"/>
              <w:tr2bl w:val="nil"/>
            </w:tcBorders>
            <w:noWrap w:val="0"/>
            <w:vAlign w:val="top"/>
          </w:tcPr>
          <w:p>
            <w:pPr>
              <w:tabs>
                <w:tab w:val="left" w:pos="360"/>
                <w:tab w:val="left" w:pos="7920"/>
                <w:tab w:val="left" w:pos="8200"/>
              </w:tabs>
              <w:spacing w:line="560" w:lineRule="exact"/>
              <w:rPr>
                <w:rFonts w:hint="eastAsia" w:ascii="仿宋_GB2312" w:eastAsia="仿宋_GB2312"/>
                <w:sz w:val="32"/>
                <w:szCs w:val="32"/>
              </w:rPr>
            </w:pPr>
            <w:r>
              <w:rPr>
                <w:rFonts w:hint="eastAsia" w:ascii="仿宋_GB2312" w:hAnsi="宋体" w:eastAsia="仿宋_GB2312"/>
                <w:sz w:val="32"/>
                <w:szCs w:val="32"/>
              </w:rPr>
              <w:t xml:space="preserve">   慈人社</w:t>
            </w:r>
            <w:r>
              <w:rPr>
                <w:rFonts w:hint="eastAsia"/>
                <w:sz w:val="32"/>
                <w:szCs w:val="32"/>
                <w:lang w:val="en-US" w:eastAsia="zh-CN"/>
              </w:rPr>
              <w:t>建</w:t>
            </w:r>
            <w:r>
              <w:rPr>
                <w:rFonts w:hint="eastAsia" w:ascii="仿宋_GB2312" w:hAnsi="宋体" w:eastAsia="仿宋_GB2312"/>
                <w:sz w:val="32"/>
                <w:szCs w:val="32"/>
              </w:rPr>
              <w:t>〔20</w:t>
            </w:r>
            <w:r>
              <w:rPr>
                <w:rFonts w:hint="eastAsia"/>
                <w:sz w:val="32"/>
                <w:szCs w:val="32"/>
                <w:lang w:val="en-US" w:eastAsia="zh-CN"/>
              </w:rPr>
              <w:t>21</w:t>
            </w:r>
            <w:r>
              <w:rPr>
                <w:rFonts w:hint="eastAsia" w:ascii="仿宋_GB2312" w:hAnsi="宋体" w:eastAsia="仿宋_GB2312"/>
                <w:sz w:val="32"/>
                <w:szCs w:val="32"/>
              </w:rPr>
              <w:t>〕</w:t>
            </w:r>
            <w:r>
              <w:rPr>
                <w:rFonts w:hint="eastAsia"/>
                <w:sz w:val="32"/>
                <w:szCs w:val="32"/>
                <w:lang w:val="en-US" w:eastAsia="zh-CN"/>
              </w:rPr>
              <w:t>8</w:t>
            </w:r>
            <w:r>
              <w:rPr>
                <w:rFonts w:hint="eastAsia" w:ascii="仿宋_GB2312" w:hAnsi="宋体" w:eastAsia="仿宋_GB2312"/>
                <w:sz w:val="32"/>
                <w:szCs w:val="32"/>
              </w:rPr>
              <w:t>号               签发人：</w:t>
            </w:r>
            <w:r>
              <w:rPr>
                <w:rFonts w:hint="eastAsia" w:ascii="仿宋" w:hAnsi="仿宋" w:eastAsia="仿宋"/>
                <w:sz w:val="32"/>
              </w:rPr>
              <w:t>沈维江</w:t>
            </w:r>
          </w:p>
        </w:tc>
      </w:tr>
    </w:tbl>
    <w:p>
      <w:pPr>
        <w:keepNext w:val="0"/>
        <w:keepLines w:val="0"/>
        <w:pageBreakBefore w:val="0"/>
        <w:widowControl w:val="0"/>
        <w:kinsoku/>
        <w:wordWrap/>
        <w:overflowPunct/>
        <w:topLinePunct w:val="0"/>
        <w:autoSpaceDE/>
        <w:autoSpaceDN/>
        <w:bidi w:val="0"/>
        <w:adjustRightInd/>
        <w:snapToGrid/>
        <w:spacing w:before="0" w:beforeLines="0" w:after="156" w:afterLines="50" w:line="640" w:lineRule="exact"/>
        <w:ind w:left="0" w:leftChars="0" w:right="0" w:rightChars="0" w:firstLine="0" w:firstLineChars="0"/>
        <w:jc w:val="center"/>
        <w:textAlignment w:val="auto"/>
        <w:outlineLvl w:val="9"/>
        <w:rPr>
          <w:rFonts w:hint="eastAsia" w:ascii="仿宋_GB2312" w:hAnsi="宋体" w:eastAsia="仿宋_GB2312"/>
          <w:sz w:val="32"/>
          <w:szCs w:val="32"/>
        </w:rPr>
      </w:pPr>
      <w:bookmarkStart w:id="0" w:name="_GoBack"/>
      <w:bookmarkEnd w:id="0"/>
    </w:p>
    <w:p>
      <w:pPr>
        <w:jc w:val="center"/>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 xml:space="preserve">对市十七届人大五次会议第217号建议的答复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张燕女代表：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您提出的《关于加强企业人才引进培育的建议》已收悉。我局高度重视，与市级相关职能部门一起,就您提出的建议作了认真研究,现答复如下：</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近年来，我市大力实施人才强市战略，不断加大引才育才力度，优化留才用才环境，人才队伍不断壮大优化。截至2020年底，市本级人才总量达到27.01万人，其中高层次人才7356人，为推动我市经济社会健康稳定发展提供了智力保障。主要做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一、拓宽招引渠道，加快各类人才集聚。在举办传统线下招聘会基础上，组织开展“甬抱人才、在慈等你”云招聘和直播带岗活动，构建线上线下相融合的新招聘模式。2020年，举办线上线下招聘会64场，全年新引进高校毕业生14105人。创新实施定向引才计划，启动“丝路助学乐业工程”，成立2000万元助学乐业基金专项用于引培兰州高校毕业生。全面实施中介引才、以才引才等人才引进新模式，与11家引才机构建立引才合作关系，聘请10名海内外专家、知名人士担任引才大使，2020年兑现引才引智奖励资金65万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二、创新政策机制，营造最优人才生态。全面落实人才项目创业创新资助、人才购房补贴和安家补助、人才子女入学等各项人才激励政策，努力为人才在慈创新创业营造良好环境。2020年，市级人才专项资金支出1.3亿元，其中兑现人才项目资助资金5300余万元，发放安家补助、购房补贴近6000万元，推出人才公寓77套，帮助155名各类人才解决子女入学问题。同时，激励企业发挥引才育才主体作用，出台文件把人才密度、创新强度作为招商引智、项目支持的重要评价指标，并对引才育才成效显著的企业给予人才子女入学、人才公寓申购等方面的优惠政策。</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三、建设创新平台，促进技术合作共享。启动宁波智能家电工程师协同创新中心建设，建立以领军人才、专业技术人才、高技能人才和“星期日工程师”等组成的智能家电工程师百人库，为企业提供人才共享服务，组团攻克难关。支持企业建设博士后工作站、企业专家工作站、技能大师工作室等人才创新平台，采取全职引进、柔性使用等多种方式，为企业产品研发、技术攻关提供智力支持。2020年，我市新建省级以上博士后工作站3家，新增省、宁波市级技能大师工作室各1家。大力实施共建协同创新研究院，采用“专家服务团+签约教授”产学研合作赋能模式，形成签约教授负责日常技术咨询、专家服务团托底解决企业技术难题与定制研发的合作机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下一步，结合您提出的建议，我们将着力抓好以下三方面工作。一是全面实施新引进高校毕业生生活安居补助等人才新政相关政策实施细则，及时贯彻青年人才租房补贴等宁波市人才新政策，构建更加完善的人才激励政策体系。同时，完善“亩均论英雄”评价机制，将人才作为评价的重要指标。二是布局建设以人才服务站、引才工作站为主体的中介引才合作网络，聘请知名人士担任引才大使，落实全员引智奖励新机制，发挥人力资源产业园市场化配置人才作用，支持企业通过“以投带引”开展才富合作，切实提高引才工作实效。三是推进宁波智能家电工程师协同创新中心建设，加强关键共性技术攻关，健全完善以工程师为主导的人才“引育留用”创新体系。围绕制约产业链供应链安全的关键核心技术问题，常态化实施“揭榜挂帅”。</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再次感谢您对我市人才开发工作的关心和支持！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慈溪市人力资源和社会保障局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2021年6月20日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抄　　送：市人大代表工委，市政府办公室，市财政局，</w:t>
      </w:r>
    </w:p>
    <w:p>
      <w:pPr>
        <w:keepNext w:val="0"/>
        <w:keepLines w:val="0"/>
        <w:pageBreakBefore w:val="0"/>
        <w:widowControl w:val="0"/>
        <w:kinsoku/>
        <w:wordWrap/>
        <w:overflowPunct/>
        <w:topLinePunct w:val="0"/>
        <w:autoSpaceDE/>
        <w:autoSpaceDN/>
        <w:bidi w:val="0"/>
        <w:adjustRightInd/>
        <w:snapToGrid/>
        <w:spacing w:line="540"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附海镇人大主席团。</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联 系 人：陆柯权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联系电话：63938252 </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sz w:val="24"/>
                              <w:szCs w:val="24"/>
                              <w:lang w:val="en-US" w:eastAsia="zh-CN"/>
                            </w:rPr>
                          </w:pPr>
                          <w:r>
                            <w:rPr>
                              <w:rFonts w:hint="eastAsia" w:ascii="宋体" w:hAnsi="宋体" w:eastAsia="宋体" w:cs="宋体"/>
                              <w:sz w:val="24"/>
                              <w:szCs w:val="24"/>
                            </w:rPr>
                            <w:t>－</w:t>
                          </w:r>
                          <w:r>
                            <w:rPr>
                              <w:rFonts w:hint="eastAsia" w:eastAsia="宋体"/>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val="en-US" w:eastAsia="zh-CN"/>
                            </w:rPr>
                            <w:t xml:space="preserve"> </w:t>
                          </w:r>
                          <w:r>
                            <w:rPr>
                              <w:rFonts w:hint="eastAsia" w:ascii="宋体" w:hAnsi="宋体" w:eastAsia="宋体" w:cs="宋体"/>
                              <w:sz w:val="24"/>
                              <w:szCs w:val="24"/>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sz w:val="24"/>
                        <w:szCs w:val="24"/>
                        <w:lang w:val="en-US" w:eastAsia="zh-CN"/>
                      </w:rPr>
                    </w:pPr>
                    <w:r>
                      <w:rPr>
                        <w:rFonts w:hint="eastAsia" w:ascii="宋体" w:hAnsi="宋体" w:eastAsia="宋体" w:cs="宋体"/>
                        <w:sz w:val="24"/>
                        <w:szCs w:val="24"/>
                      </w:rPr>
                      <w:t>－</w:t>
                    </w:r>
                    <w:r>
                      <w:rPr>
                        <w:rFonts w:hint="eastAsia" w:eastAsia="宋体"/>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val="en-US" w:eastAsia="zh-CN"/>
                      </w:rPr>
                      <w:t xml:space="preserve"> </w:t>
                    </w:r>
                    <w:r>
                      <w:rPr>
                        <w:rFonts w:hint="eastAsia" w:ascii="宋体" w:hAnsi="宋体" w:eastAsia="宋体" w:cs="宋体"/>
                        <w:sz w:val="24"/>
                        <w:szCs w:val="24"/>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87231"/>
    <w:rsid w:val="0EB531CC"/>
    <w:rsid w:val="7ED87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Times New Roman"/>
      <w:kern w:val="2"/>
      <w:sz w:val="42"/>
      <w:szCs w:val="4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endnote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2021-06-29T01:23:00Z</dcterms:created>
  <dc:creator>顾雄辉</dc:creator>
  <cp:lastModifiedBy>ldj</cp:lastModifiedBy>
  <cp:lastPrinted>2021-06-29T01:28:00Z</cp:lastPrinted>
  <dcterms:modified xsi:type="dcterms:W3CDTF">2021-07-01T08:08:48Z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CDB602653B5448BBA081C58C204304F8</vt:lpwstr>
  </property>
</Properties>
</file>