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83" w:rsidRDefault="00990083"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p w:rsidR="00990083" w:rsidRDefault="00990083">
      <w:pPr>
        <w:spacing w:line="560" w:lineRule="exact"/>
        <w:rPr>
          <w:rFonts w:ascii="黑体" w:eastAsia="黑体"/>
          <w:color w:val="FF0000"/>
          <w:sz w:val="44"/>
          <w:szCs w:val="44"/>
        </w:rPr>
      </w:pPr>
    </w:p>
    <w:p w:rsidR="00073666" w:rsidRDefault="00073666">
      <w:pPr>
        <w:spacing w:line="560" w:lineRule="exact"/>
        <w:jc w:val="center"/>
        <w:rPr>
          <w:rFonts w:ascii="宋体" w:hAnsi="宋体" w:cs="Arial" w:hint="eastAsia"/>
          <w:b/>
          <w:sz w:val="44"/>
          <w:szCs w:val="44"/>
        </w:rPr>
      </w:pPr>
      <w:r w:rsidRPr="00073666">
        <w:rPr>
          <w:rFonts w:ascii="宋体" w:hAnsi="宋体" w:cs="Arial" w:hint="eastAsia"/>
          <w:b/>
          <w:sz w:val="44"/>
          <w:szCs w:val="44"/>
        </w:rPr>
        <w:t>关于充分发挥律师调解职能，推进矛盾纠纷</w:t>
      </w:r>
    </w:p>
    <w:p w:rsidR="00990083" w:rsidRDefault="00073666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  <w:r w:rsidRPr="00073666">
        <w:rPr>
          <w:rFonts w:ascii="宋体" w:hAnsi="宋体" w:cs="Arial" w:hint="eastAsia"/>
          <w:b/>
          <w:sz w:val="44"/>
          <w:szCs w:val="44"/>
        </w:rPr>
        <w:t>化解机制建设的建议</w:t>
      </w:r>
    </w:p>
    <w:p w:rsidR="00990083" w:rsidRDefault="00990083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990083" w:rsidRPr="00073666" w:rsidRDefault="00073666">
      <w:pPr>
        <w:spacing w:line="560" w:lineRule="exact"/>
        <w:rPr>
          <w:rFonts w:ascii="楷体_GB2312" w:eastAsia="楷体_GB2312"/>
          <w:sz w:val="32"/>
          <w:szCs w:val="32"/>
        </w:rPr>
      </w:pPr>
      <w:r w:rsidRPr="00073666">
        <w:rPr>
          <w:rFonts w:ascii="楷体_GB2312" w:eastAsia="楷体_GB2312" w:hint="eastAsia"/>
          <w:sz w:val="32"/>
          <w:szCs w:val="32"/>
        </w:rPr>
        <w:t>领衔代表：</w:t>
      </w:r>
      <w:r w:rsidRPr="00073666">
        <w:rPr>
          <w:rFonts w:ascii="楷体_GB2312" w:eastAsia="楷体_GB2312" w:hint="eastAsia"/>
          <w:sz w:val="32"/>
          <w:szCs w:val="32"/>
        </w:rPr>
        <w:t>陈益亭</w:t>
      </w:r>
    </w:p>
    <w:p w:rsidR="00990083" w:rsidRPr="00073666" w:rsidRDefault="00073666">
      <w:pPr>
        <w:spacing w:line="560" w:lineRule="exact"/>
        <w:rPr>
          <w:rFonts w:ascii="楷体_GB2312" w:eastAsia="楷体_GB2312"/>
          <w:sz w:val="32"/>
          <w:szCs w:val="32"/>
        </w:rPr>
      </w:pPr>
      <w:r w:rsidRPr="00073666">
        <w:rPr>
          <w:rFonts w:ascii="楷体_GB2312" w:eastAsia="楷体_GB2312" w:hint="eastAsia"/>
          <w:sz w:val="32"/>
          <w:szCs w:val="32"/>
        </w:rPr>
        <w:t>附议代表：</w:t>
      </w:r>
    </w:p>
    <w:p w:rsidR="00990083" w:rsidRDefault="00990083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990083" w:rsidRDefault="00073666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社会治理是国家治理的重要方面，而矛盾纠纷化解机制是社会治理体系的重要组成部分。中央高度重视社会矛盾纠纷的多元化解、实质性化解。为贯彻落实《中共中央关于全面推进依法治国若干重大问题的决定》以及中共中央办公厅、国务院办公厅《关于完善矛盾纠纷多元化解机制的意见》、《关于深化律师制度改革的意见》和最高人民法院《关于人民法院进一步深化多元化纠纷解决机制改革的意见》，</w:t>
      </w:r>
      <w:r>
        <w:rPr>
          <w:rFonts w:eastAsia="仿宋_GB2312" w:hint="eastAsia"/>
          <w:sz w:val="32"/>
        </w:rPr>
        <w:t>2017</w:t>
      </w:r>
      <w:r>
        <w:rPr>
          <w:rFonts w:eastAsia="仿宋_GB2312" w:hint="eastAsia"/>
          <w:sz w:val="32"/>
        </w:rPr>
        <w:t>年，最高人民法院、司法部发布了《关于开展律师调解试点工作的意见》，对律师调解试点工作提出了具体意见。</w:t>
      </w:r>
    </w:p>
    <w:p w:rsidR="00990083" w:rsidRDefault="00073666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自</w:t>
      </w:r>
      <w:r>
        <w:rPr>
          <w:rFonts w:eastAsia="仿宋_GB2312" w:hint="eastAsia"/>
          <w:sz w:val="32"/>
        </w:rPr>
        <w:t>2017</w:t>
      </w:r>
      <w:r>
        <w:rPr>
          <w:rFonts w:eastAsia="仿宋_GB2312" w:hint="eastAsia"/>
          <w:sz w:val="32"/>
        </w:rPr>
        <w:t>年成为宁波市第一批律师调解试点地区</w:t>
      </w:r>
      <w:r>
        <w:rPr>
          <w:rFonts w:eastAsia="仿宋_GB2312" w:hint="eastAsia"/>
          <w:sz w:val="32"/>
        </w:rPr>
        <w:t>以来，我市律师充分发挥律师在预防和化解矛盾纠纷中的专业优势、职业优势和实践优势</w:t>
      </w:r>
      <w:r>
        <w:rPr>
          <w:rFonts w:eastAsia="仿宋_GB2312" w:hint="eastAsia"/>
          <w:sz w:val="32"/>
        </w:rPr>
        <w:t>，</w:t>
      </w:r>
      <w:r>
        <w:rPr>
          <w:rFonts w:eastAsia="仿宋_GB2312" w:hint="eastAsia"/>
          <w:sz w:val="32"/>
        </w:rPr>
        <w:t>为我市多元化解决纠纷贡献了律师力量。律师调解大有可为，大有作为。</w:t>
      </w:r>
    </w:p>
    <w:p w:rsidR="00990083" w:rsidRDefault="00073666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为更好地发挥律师在矛盾纠纷化解中的作用，特提出以下建</w:t>
      </w:r>
      <w:r>
        <w:rPr>
          <w:rFonts w:eastAsia="仿宋_GB2312" w:hint="eastAsia"/>
          <w:sz w:val="32"/>
        </w:rPr>
        <w:lastRenderedPageBreak/>
        <w:t>议：</w:t>
      </w:r>
    </w:p>
    <w:p w:rsidR="00073666" w:rsidRDefault="00073666" w:rsidP="00073666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073666">
        <w:rPr>
          <w:rFonts w:ascii="黑体" w:eastAsia="黑体" w:hAnsi="黑体" w:hint="eastAsia"/>
          <w:sz w:val="32"/>
          <w:szCs w:val="32"/>
        </w:rPr>
        <w:t>各级政法部门、人民法院要高度重视律师调解这项工作的重要性。</w:t>
      </w:r>
    </w:p>
    <w:p w:rsidR="00990083" w:rsidRPr="00073666" w:rsidRDefault="00073666" w:rsidP="0007366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3666">
        <w:rPr>
          <w:rFonts w:eastAsia="仿宋_GB2312" w:hint="eastAsia"/>
          <w:sz w:val="32"/>
        </w:rPr>
        <w:t>律师调解是社会大调解的一支重要力量。律师队伍熟知法律知识，相比社会其他人士调解更具有专业优势。同时，律师作为法律职业共同体的一部分，其也担负着依法治市的重要职责。因此，各级党委政府、人民法院要高度重视律师调解在矛盾多元化解中的作用，用好这支队伍，</w:t>
      </w:r>
      <w:r w:rsidRPr="00073666">
        <w:rPr>
          <w:rFonts w:eastAsia="仿宋_GB2312" w:hint="eastAsia"/>
          <w:sz w:val="32"/>
        </w:rPr>
        <w:t>充分发挥律师调解的作用。</w:t>
      </w:r>
    </w:p>
    <w:p w:rsidR="00073666" w:rsidRDefault="00073666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二、要充分发挥商事调解中心的作用。</w:t>
      </w:r>
    </w:p>
    <w:p w:rsidR="00990083" w:rsidRDefault="00073666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为推进诉源治理、多元化解决纠纷的机制，在市司法局主导下，在总结过去经验的基础上，我市</w:t>
      </w:r>
      <w:r>
        <w:rPr>
          <w:rFonts w:eastAsia="仿宋_GB2312" w:hint="eastAsia"/>
          <w:sz w:val="32"/>
        </w:rPr>
        <w:t>23</w:t>
      </w:r>
      <w:r>
        <w:rPr>
          <w:rFonts w:eastAsia="仿宋_GB2312" w:hint="eastAsia"/>
          <w:sz w:val="32"/>
        </w:rPr>
        <w:t>家律师事务所联合发起成立了慈溪市律谐商事调解中心，专门受理商事案件的委派、委托调解。这是我市司法行政积极响应中央多元化解决纠纷的一个有益尝试。对于新生事物，需要得到市委市政府、人民法院及社会各界的支持。这样可更好地发挥律师调解的作用。</w:t>
      </w:r>
    </w:p>
    <w:p w:rsidR="00073666" w:rsidRDefault="00073666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三、要给予律师调解工作必要的经费支持。</w:t>
      </w:r>
    </w:p>
    <w:p w:rsidR="00990083" w:rsidRDefault="00073666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一是对律师调解组织直接受理调解案件的，要允许律师调解组织按照有偿和低价的原则向双方当事人收</w:t>
      </w:r>
      <w:r>
        <w:rPr>
          <w:rFonts w:eastAsia="仿宋_GB2312" w:hint="eastAsia"/>
          <w:sz w:val="32"/>
        </w:rPr>
        <w:t>取调解费；二是对法院委派律师调解机构调解案件的，通过政府采购服务渠道予以解决，由财政部门应下拨一定的经费补贴给律师调解组织或调解律师。</w:t>
      </w:r>
    </w:p>
    <w:p w:rsidR="00073666" w:rsidRDefault="00073666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四、要完善律师调解司法确认机制。</w:t>
      </w:r>
    </w:p>
    <w:p w:rsidR="00990083" w:rsidRDefault="00073666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lastRenderedPageBreak/>
        <w:t>对于律师调解中心调解达成的具有民事合同性质的协议</w:t>
      </w:r>
      <w:r>
        <w:rPr>
          <w:rFonts w:eastAsia="仿宋_GB2312" w:hint="eastAsia"/>
          <w:sz w:val="32"/>
        </w:rPr>
        <w:t>，</w:t>
      </w:r>
      <w:bookmarkStart w:id="0" w:name="_GoBack"/>
      <w:bookmarkEnd w:id="0"/>
      <w:r>
        <w:rPr>
          <w:rFonts w:eastAsia="仿宋_GB2312" w:hint="eastAsia"/>
          <w:sz w:val="32"/>
        </w:rPr>
        <w:t>当事人可以向律师调解组织所在地法院申请确认其效力</w:t>
      </w:r>
      <w:r>
        <w:rPr>
          <w:rFonts w:eastAsia="仿宋_GB2312" w:hint="eastAsia"/>
          <w:sz w:val="32"/>
        </w:rPr>
        <w:t>，</w:t>
      </w:r>
      <w:r>
        <w:rPr>
          <w:rFonts w:eastAsia="仿宋_GB2312" w:hint="eastAsia"/>
          <w:sz w:val="32"/>
        </w:rPr>
        <w:t>人民法院应当依法确认调解协议效力。如案件在人民法庭受理的，可直接向人民法庭申请确认效力。</w:t>
      </w:r>
    </w:p>
    <w:p w:rsidR="00073666" w:rsidRDefault="00073666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五、加强队伍管理。</w:t>
      </w:r>
    </w:p>
    <w:p w:rsidR="00990083" w:rsidRDefault="00073666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加强对律师调解员职业道德、执业纪律、调解技能等方面的培训</w:t>
      </w:r>
      <w:r>
        <w:rPr>
          <w:rFonts w:eastAsia="仿宋_GB2312" w:hint="eastAsia"/>
          <w:sz w:val="32"/>
        </w:rPr>
        <w:t>，</w:t>
      </w:r>
      <w:r>
        <w:rPr>
          <w:rFonts w:eastAsia="仿宋_GB2312" w:hint="eastAsia"/>
          <w:sz w:val="32"/>
        </w:rPr>
        <w:t>建设高水平的调解律师队伍</w:t>
      </w:r>
      <w:r>
        <w:rPr>
          <w:rFonts w:eastAsia="仿宋_GB2312" w:hint="eastAsia"/>
          <w:sz w:val="32"/>
        </w:rPr>
        <w:t>,</w:t>
      </w:r>
      <w:r>
        <w:rPr>
          <w:rFonts w:eastAsia="仿宋_GB2312" w:hint="eastAsia"/>
          <w:sz w:val="32"/>
        </w:rPr>
        <w:t>确保调解案件质量。探索建立律师参与公益性调解的考核表</w:t>
      </w:r>
      <w:r>
        <w:rPr>
          <w:rFonts w:eastAsia="仿宋_GB2312" w:hint="eastAsia"/>
          <w:sz w:val="32"/>
        </w:rPr>
        <w:t>彰激励机制。人民法院、司法行政机关、律师协会应当对表现突出的律师调解工作室、律师调解中心组织和律师调解员给予物质或荣誉奖励。</w:t>
      </w:r>
    </w:p>
    <w:p w:rsidR="00990083" w:rsidRDefault="00990083">
      <w:pPr>
        <w:spacing w:line="560" w:lineRule="exact"/>
        <w:ind w:firstLineChars="200" w:firstLine="640"/>
        <w:rPr>
          <w:rFonts w:eastAsia="仿宋_GB2312"/>
          <w:sz w:val="32"/>
        </w:rPr>
      </w:pPr>
    </w:p>
    <w:p w:rsidR="00990083" w:rsidRDefault="0099008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90083" w:rsidSect="00990083">
      <w:headerReference w:type="default" r:id="rId8"/>
      <w:footerReference w:type="even" r:id="rId9"/>
      <w:footerReference w:type="default" r:id="rId10"/>
      <w:pgSz w:w="11906" w:h="16838"/>
      <w:pgMar w:top="2098" w:right="1531" w:bottom="1984" w:left="1531" w:header="1599" w:footer="159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83" w:rsidRDefault="00990083" w:rsidP="00990083">
      <w:r>
        <w:separator/>
      </w:r>
    </w:p>
  </w:endnote>
  <w:endnote w:type="continuationSeparator" w:id="1">
    <w:p w:rsidR="00990083" w:rsidRDefault="00990083" w:rsidP="0099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3" w:rsidRDefault="0099008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073666">
      <w:rPr>
        <w:rStyle w:val="a7"/>
      </w:rPr>
      <w:instrText xml:space="preserve">PAGE  </w:instrText>
    </w:r>
    <w:r>
      <w:fldChar w:fldCharType="end"/>
    </w:r>
  </w:p>
  <w:p w:rsidR="00990083" w:rsidRDefault="009900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3" w:rsidRDefault="0099008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073666">
      <w:rPr>
        <w:rStyle w:val="a7"/>
      </w:rPr>
      <w:instrText xml:space="preserve">PAGE  </w:instrText>
    </w:r>
    <w:r>
      <w:fldChar w:fldCharType="separate"/>
    </w:r>
    <w:r w:rsidR="00073666">
      <w:rPr>
        <w:rStyle w:val="a7"/>
        <w:noProof/>
      </w:rPr>
      <w:t>1</w:t>
    </w:r>
    <w:r>
      <w:fldChar w:fldCharType="end"/>
    </w:r>
  </w:p>
  <w:p w:rsidR="00990083" w:rsidRDefault="009900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83" w:rsidRDefault="00990083" w:rsidP="00990083">
      <w:r>
        <w:separator/>
      </w:r>
    </w:p>
  </w:footnote>
  <w:footnote w:type="continuationSeparator" w:id="1">
    <w:p w:rsidR="00990083" w:rsidRDefault="00990083" w:rsidP="00990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83" w:rsidRDefault="0099008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E72"/>
    <w:multiLevelType w:val="hybridMultilevel"/>
    <w:tmpl w:val="CBE80EB8"/>
    <w:lvl w:ilvl="0" w:tplc="B54EE390">
      <w:start w:val="1"/>
      <w:numFmt w:val="japaneseCounting"/>
      <w:lvlText w:val="%1、"/>
      <w:lvlJc w:val="left"/>
      <w:pPr>
        <w:ind w:left="1870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7C1"/>
    <w:rsid w:val="00002465"/>
    <w:rsid w:val="00023F7B"/>
    <w:rsid w:val="0003130E"/>
    <w:rsid w:val="00033148"/>
    <w:rsid w:val="00037975"/>
    <w:rsid w:val="00042647"/>
    <w:rsid w:val="00060B67"/>
    <w:rsid w:val="000610C2"/>
    <w:rsid w:val="00062EE5"/>
    <w:rsid w:val="00066FBB"/>
    <w:rsid w:val="00073666"/>
    <w:rsid w:val="00077278"/>
    <w:rsid w:val="0008108F"/>
    <w:rsid w:val="000B1E07"/>
    <w:rsid w:val="000B58EF"/>
    <w:rsid w:val="000C236B"/>
    <w:rsid w:val="000C71F0"/>
    <w:rsid w:val="000F2D9D"/>
    <w:rsid w:val="00114074"/>
    <w:rsid w:val="001147DF"/>
    <w:rsid w:val="00121C6B"/>
    <w:rsid w:val="0012544C"/>
    <w:rsid w:val="00126F50"/>
    <w:rsid w:val="0013292F"/>
    <w:rsid w:val="00137BAE"/>
    <w:rsid w:val="00157E8D"/>
    <w:rsid w:val="00166E6E"/>
    <w:rsid w:val="00191A83"/>
    <w:rsid w:val="001961FB"/>
    <w:rsid w:val="001A320A"/>
    <w:rsid w:val="001A79FB"/>
    <w:rsid w:val="001D42AA"/>
    <w:rsid w:val="001D4C86"/>
    <w:rsid w:val="001D4CB6"/>
    <w:rsid w:val="001E377B"/>
    <w:rsid w:val="001E3976"/>
    <w:rsid w:val="001E5F4C"/>
    <w:rsid w:val="00207E85"/>
    <w:rsid w:val="00225463"/>
    <w:rsid w:val="002324BC"/>
    <w:rsid w:val="002326DB"/>
    <w:rsid w:val="00232D06"/>
    <w:rsid w:val="00234482"/>
    <w:rsid w:val="00236E0C"/>
    <w:rsid w:val="00240960"/>
    <w:rsid w:val="00251FCE"/>
    <w:rsid w:val="00260B23"/>
    <w:rsid w:val="0026729A"/>
    <w:rsid w:val="00271D65"/>
    <w:rsid w:val="0029742B"/>
    <w:rsid w:val="002A0195"/>
    <w:rsid w:val="002B418D"/>
    <w:rsid w:val="002B47EE"/>
    <w:rsid w:val="002D2DA0"/>
    <w:rsid w:val="002D7750"/>
    <w:rsid w:val="002D7842"/>
    <w:rsid w:val="002E35DC"/>
    <w:rsid w:val="002E38E5"/>
    <w:rsid w:val="0030469E"/>
    <w:rsid w:val="00304CCE"/>
    <w:rsid w:val="00313779"/>
    <w:rsid w:val="00316F15"/>
    <w:rsid w:val="00327E9A"/>
    <w:rsid w:val="00351F43"/>
    <w:rsid w:val="00365514"/>
    <w:rsid w:val="0037424C"/>
    <w:rsid w:val="003750C0"/>
    <w:rsid w:val="00376790"/>
    <w:rsid w:val="003B0165"/>
    <w:rsid w:val="003B7824"/>
    <w:rsid w:val="003D3834"/>
    <w:rsid w:val="003D7CC5"/>
    <w:rsid w:val="003E3B89"/>
    <w:rsid w:val="003E5D42"/>
    <w:rsid w:val="003F3773"/>
    <w:rsid w:val="003F4277"/>
    <w:rsid w:val="003F70A0"/>
    <w:rsid w:val="0041363A"/>
    <w:rsid w:val="00424707"/>
    <w:rsid w:val="00425605"/>
    <w:rsid w:val="0043566D"/>
    <w:rsid w:val="00447040"/>
    <w:rsid w:val="004549B1"/>
    <w:rsid w:val="00475334"/>
    <w:rsid w:val="00477409"/>
    <w:rsid w:val="00481D4A"/>
    <w:rsid w:val="004A17EB"/>
    <w:rsid w:val="004A2435"/>
    <w:rsid w:val="004A2DCD"/>
    <w:rsid w:val="004A3773"/>
    <w:rsid w:val="004A7584"/>
    <w:rsid w:val="004B6B83"/>
    <w:rsid w:val="004B78B6"/>
    <w:rsid w:val="004C3CF0"/>
    <w:rsid w:val="004D0013"/>
    <w:rsid w:val="004D19D1"/>
    <w:rsid w:val="004D5F55"/>
    <w:rsid w:val="004F3E17"/>
    <w:rsid w:val="004F6465"/>
    <w:rsid w:val="005115A6"/>
    <w:rsid w:val="00514CA0"/>
    <w:rsid w:val="00522B93"/>
    <w:rsid w:val="00524F8A"/>
    <w:rsid w:val="00531595"/>
    <w:rsid w:val="00547F07"/>
    <w:rsid w:val="0056002E"/>
    <w:rsid w:val="00560DF8"/>
    <w:rsid w:val="00560F29"/>
    <w:rsid w:val="00573557"/>
    <w:rsid w:val="005758B4"/>
    <w:rsid w:val="00582392"/>
    <w:rsid w:val="00586172"/>
    <w:rsid w:val="00586951"/>
    <w:rsid w:val="00590307"/>
    <w:rsid w:val="00594AB5"/>
    <w:rsid w:val="00594DAA"/>
    <w:rsid w:val="005A2446"/>
    <w:rsid w:val="005A7882"/>
    <w:rsid w:val="005B53D4"/>
    <w:rsid w:val="005B5F43"/>
    <w:rsid w:val="005C2917"/>
    <w:rsid w:val="005C2BE2"/>
    <w:rsid w:val="005F5B11"/>
    <w:rsid w:val="00600E9A"/>
    <w:rsid w:val="00601DEC"/>
    <w:rsid w:val="00603239"/>
    <w:rsid w:val="0060390E"/>
    <w:rsid w:val="006043A7"/>
    <w:rsid w:val="006109C9"/>
    <w:rsid w:val="00616345"/>
    <w:rsid w:val="00621122"/>
    <w:rsid w:val="00633378"/>
    <w:rsid w:val="006610D2"/>
    <w:rsid w:val="00675084"/>
    <w:rsid w:val="0067765F"/>
    <w:rsid w:val="006803A3"/>
    <w:rsid w:val="00685A54"/>
    <w:rsid w:val="006C1F49"/>
    <w:rsid w:val="006D1A06"/>
    <w:rsid w:val="0072699B"/>
    <w:rsid w:val="00744316"/>
    <w:rsid w:val="00786DEB"/>
    <w:rsid w:val="007945DF"/>
    <w:rsid w:val="00796295"/>
    <w:rsid w:val="007A2E61"/>
    <w:rsid w:val="007B2566"/>
    <w:rsid w:val="007C1DE1"/>
    <w:rsid w:val="007C675A"/>
    <w:rsid w:val="007D1C4A"/>
    <w:rsid w:val="007D4004"/>
    <w:rsid w:val="007D477D"/>
    <w:rsid w:val="007F5251"/>
    <w:rsid w:val="0082117E"/>
    <w:rsid w:val="008431CB"/>
    <w:rsid w:val="00864792"/>
    <w:rsid w:val="00866CD5"/>
    <w:rsid w:val="0087420C"/>
    <w:rsid w:val="008772B0"/>
    <w:rsid w:val="00881BBD"/>
    <w:rsid w:val="00887FE5"/>
    <w:rsid w:val="00897B31"/>
    <w:rsid w:val="008A1F00"/>
    <w:rsid w:val="008B529A"/>
    <w:rsid w:val="008C09C3"/>
    <w:rsid w:val="008C1686"/>
    <w:rsid w:val="008C1B39"/>
    <w:rsid w:val="008D08CB"/>
    <w:rsid w:val="008E2467"/>
    <w:rsid w:val="008E4490"/>
    <w:rsid w:val="008F3A7A"/>
    <w:rsid w:val="00900FF3"/>
    <w:rsid w:val="009249B0"/>
    <w:rsid w:val="00924A5E"/>
    <w:rsid w:val="00925BC9"/>
    <w:rsid w:val="00932460"/>
    <w:rsid w:val="00965CFE"/>
    <w:rsid w:val="0097210A"/>
    <w:rsid w:val="00974B8B"/>
    <w:rsid w:val="00990083"/>
    <w:rsid w:val="00990838"/>
    <w:rsid w:val="00992664"/>
    <w:rsid w:val="00995420"/>
    <w:rsid w:val="009B23AA"/>
    <w:rsid w:val="009B46CB"/>
    <w:rsid w:val="009B5B5D"/>
    <w:rsid w:val="009C59CC"/>
    <w:rsid w:val="009C7AA4"/>
    <w:rsid w:val="009D29EA"/>
    <w:rsid w:val="009F21D7"/>
    <w:rsid w:val="00A04213"/>
    <w:rsid w:val="00A2414D"/>
    <w:rsid w:val="00A26A2F"/>
    <w:rsid w:val="00A42AF0"/>
    <w:rsid w:val="00A4504D"/>
    <w:rsid w:val="00A4621C"/>
    <w:rsid w:val="00A53A85"/>
    <w:rsid w:val="00A7586A"/>
    <w:rsid w:val="00A83079"/>
    <w:rsid w:val="00A84F93"/>
    <w:rsid w:val="00A85F02"/>
    <w:rsid w:val="00A96117"/>
    <w:rsid w:val="00AA20D9"/>
    <w:rsid w:val="00AA69FB"/>
    <w:rsid w:val="00AB0046"/>
    <w:rsid w:val="00AB5DB9"/>
    <w:rsid w:val="00AC44FE"/>
    <w:rsid w:val="00AC7CBF"/>
    <w:rsid w:val="00AD26D5"/>
    <w:rsid w:val="00AD5043"/>
    <w:rsid w:val="00AE37C1"/>
    <w:rsid w:val="00AE451A"/>
    <w:rsid w:val="00AE467F"/>
    <w:rsid w:val="00AE6D34"/>
    <w:rsid w:val="00AF157F"/>
    <w:rsid w:val="00AF481B"/>
    <w:rsid w:val="00B27E3D"/>
    <w:rsid w:val="00B334D5"/>
    <w:rsid w:val="00B35D2F"/>
    <w:rsid w:val="00B36855"/>
    <w:rsid w:val="00B43CDC"/>
    <w:rsid w:val="00B46B99"/>
    <w:rsid w:val="00B94B73"/>
    <w:rsid w:val="00BA273E"/>
    <w:rsid w:val="00BB0510"/>
    <w:rsid w:val="00BB35E5"/>
    <w:rsid w:val="00BB4408"/>
    <w:rsid w:val="00BC28EA"/>
    <w:rsid w:val="00BC4164"/>
    <w:rsid w:val="00BD15F8"/>
    <w:rsid w:val="00BD786A"/>
    <w:rsid w:val="00BF3CF3"/>
    <w:rsid w:val="00BF630E"/>
    <w:rsid w:val="00BF6409"/>
    <w:rsid w:val="00C027A9"/>
    <w:rsid w:val="00C119FC"/>
    <w:rsid w:val="00C23592"/>
    <w:rsid w:val="00C24097"/>
    <w:rsid w:val="00C316D0"/>
    <w:rsid w:val="00C44ECA"/>
    <w:rsid w:val="00C467A3"/>
    <w:rsid w:val="00C540AD"/>
    <w:rsid w:val="00C558CC"/>
    <w:rsid w:val="00C64216"/>
    <w:rsid w:val="00C75668"/>
    <w:rsid w:val="00C81459"/>
    <w:rsid w:val="00C82211"/>
    <w:rsid w:val="00CA5DEF"/>
    <w:rsid w:val="00CB711B"/>
    <w:rsid w:val="00CC0086"/>
    <w:rsid w:val="00CC3971"/>
    <w:rsid w:val="00CD7741"/>
    <w:rsid w:val="00CE184E"/>
    <w:rsid w:val="00CF0A12"/>
    <w:rsid w:val="00D149C0"/>
    <w:rsid w:val="00D2189B"/>
    <w:rsid w:val="00D21EB8"/>
    <w:rsid w:val="00D243CF"/>
    <w:rsid w:val="00D25309"/>
    <w:rsid w:val="00D30D02"/>
    <w:rsid w:val="00D31CCE"/>
    <w:rsid w:val="00D423BB"/>
    <w:rsid w:val="00D42AB6"/>
    <w:rsid w:val="00D44025"/>
    <w:rsid w:val="00D75962"/>
    <w:rsid w:val="00D84EDE"/>
    <w:rsid w:val="00D85F24"/>
    <w:rsid w:val="00D87A1C"/>
    <w:rsid w:val="00D87E4B"/>
    <w:rsid w:val="00D93B2F"/>
    <w:rsid w:val="00DA32C0"/>
    <w:rsid w:val="00DA5E90"/>
    <w:rsid w:val="00DB3D62"/>
    <w:rsid w:val="00DB685A"/>
    <w:rsid w:val="00DD4F07"/>
    <w:rsid w:val="00DD7A6D"/>
    <w:rsid w:val="00E24274"/>
    <w:rsid w:val="00E270A0"/>
    <w:rsid w:val="00E6124A"/>
    <w:rsid w:val="00E61BF0"/>
    <w:rsid w:val="00E67963"/>
    <w:rsid w:val="00E74935"/>
    <w:rsid w:val="00E91CB1"/>
    <w:rsid w:val="00EA6C99"/>
    <w:rsid w:val="00ED1AA6"/>
    <w:rsid w:val="00ED6665"/>
    <w:rsid w:val="00F05FCF"/>
    <w:rsid w:val="00F131FE"/>
    <w:rsid w:val="00F16386"/>
    <w:rsid w:val="00F22CC2"/>
    <w:rsid w:val="00F255B4"/>
    <w:rsid w:val="00F65F96"/>
    <w:rsid w:val="00F76E6A"/>
    <w:rsid w:val="00F80E27"/>
    <w:rsid w:val="00F832C1"/>
    <w:rsid w:val="00F84C46"/>
    <w:rsid w:val="00F854BB"/>
    <w:rsid w:val="00F855A3"/>
    <w:rsid w:val="00F93C79"/>
    <w:rsid w:val="00F9788D"/>
    <w:rsid w:val="00FA6F90"/>
    <w:rsid w:val="00FC4C1B"/>
    <w:rsid w:val="00FE4855"/>
    <w:rsid w:val="00FE50A0"/>
    <w:rsid w:val="02D948B4"/>
    <w:rsid w:val="07184BFF"/>
    <w:rsid w:val="18A343F5"/>
    <w:rsid w:val="1E024A68"/>
    <w:rsid w:val="278D1F1B"/>
    <w:rsid w:val="4F085390"/>
    <w:rsid w:val="61093653"/>
    <w:rsid w:val="7A5F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9008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90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9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900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990083"/>
    <w:rPr>
      <w:b/>
      <w:bCs/>
    </w:rPr>
  </w:style>
  <w:style w:type="character" w:styleId="a7">
    <w:name w:val="page number"/>
    <w:basedOn w:val="a0"/>
    <w:qFormat/>
    <w:rsid w:val="00990083"/>
  </w:style>
  <w:style w:type="character" w:styleId="a8">
    <w:name w:val="Emphasis"/>
    <w:uiPriority w:val="20"/>
    <w:qFormat/>
    <w:rsid w:val="00990083"/>
    <w:rPr>
      <w:color w:val="CC0000"/>
    </w:rPr>
  </w:style>
  <w:style w:type="paragraph" w:styleId="a9">
    <w:name w:val="List Paragraph"/>
    <w:basedOn w:val="a"/>
    <w:uiPriority w:val="99"/>
    <w:unhideWhenUsed/>
    <w:rsid w:val="000736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1113</Words>
  <Characters>30</Characters>
  <Application>Microsoft Office Word</Application>
  <DocSecurity>0</DocSecurity>
  <Lines>1</Lines>
  <Paragraphs>2</Paragraphs>
  <ScaleCrop>false</ScaleCrop>
  <Company>微软公司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关于加快推进“跨境电子贸易”发展的建议</dc:title>
  <dc:creator>微软用户</dc:creator>
  <cp:lastModifiedBy>user</cp:lastModifiedBy>
  <cp:revision>17</cp:revision>
  <cp:lastPrinted>2015-01-27T01:27:00Z</cp:lastPrinted>
  <dcterms:created xsi:type="dcterms:W3CDTF">2016-02-21T11:47:00Z</dcterms:created>
  <dcterms:modified xsi:type="dcterms:W3CDTF">2022-01-23T07:26:00Z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D09A2E8CE7D440B583B004AE12199D5B</vt:lpwstr>
  </property>
</Properties>
</file>