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Arial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Arial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Arial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Arial"/>
          <w:b/>
          <w:sz w:val="44"/>
          <w:szCs w:val="44"/>
          <w:lang w:val="en-US" w:eastAsia="zh-CN"/>
        </w:rPr>
        <w:t>关于改善新河坊商圈停车难的建议</w:t>
      </w:r>
    </w:p>
    <w:p>
      <w:pP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</w:p>
    <w:p>
      <w:pPr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领衔代表：余丹丹</w:t>
      </w:r>
    </w:p>
    <w:p>
      <w:pPr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附议代表：余云宽</w:t>
      </w:r>
    </w:p>
    <w:p>
      <w:pPr>
        <w:rPr>
          <w:rFonts w:hint="eastAsia" w:ascii="楷体_GB2312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新河坊·云泰Park以开放式街区和盒子购物中心为特色，打造主题街区，沉浸式体验消费场景。自开业以来客流持续高位，为我市商业带来一股新新鲜活力，迎来全新的滨河商业篇章。但新河坊商圈停车难、乱停放等问题也显现出来，亟需精准施策、智慧管控，有效改善和缓解街面交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一、存在问题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-SA"/>
        </w:rPr>
        <w:t>（一）地下车库引导不明显。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地下车库入口依靠保安管理，商圈主要宣传文案及店铺指示中，均未提及停车提示。新河坊地下车库虽然免费开放，但公众知晓率不高，致使商圈配套停车场利用率不高，车位闲置现象较为突出。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-SA"/>
        </w:rPr>
        <w:t>（二）市政道路设施不健全。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影清路贯通后，相关配套设施尚未完善，路面没有设置公共停车位。商区南北主要靠开发大道和明州路贯通，其他出入口仅靠贯穿密集住宅区周旺路、金桥路与新城大道连接并止于商圈，导致这两条路违规停车现象较为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-SA"/>
        </w:rPr>
        <w:t>（三）配套公共出行不顺畅。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新河坊周边公交线路仅有新城大道的金桥路口、太屺菜场，这两个站点虽有5路、15路、18路等多条线路，但与新河坊距离均在800米左右，影清路无贯穿直达商圈公交，相关配套的公共自行车、共享电动车等设施尚不完善，公共交通未实现引流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二、相关建议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-SA"/>
        </w:rPr>
        <w:t>（一）设立引导智慧停车。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及时设立路边电子屏幕显示引导，空余车位上传到行车导航系统。对接周边停车场，特别是体育中心空缺车位，统筹联动应对节假日高峰时段停车需求。划定路边甬城泊车公共车位，为短时临停车辆提供有效停靠方式。利用电子屏幕、宣传栏等方式加大规范停车、文明停车的宣传力度，引导商圈客流树立停车意识，建立停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-SA"/>
        </w:rPr>
        <w:t>（二）改善公共交通布局。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统筹新城大道沿线7条公交线路，优化部分辐射商圈潜在人流的线路在影清路设置站点。优化商圈公共自行车、共享电动车等点位布局，划定范围并引导非机动车有序停放。通过优化公共交通线路、提高公共交通服务质量缓解停车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lang w:val="en-US" w:eastAsia="zh-CN" w:bidi="ar-SA"/>
        </w:rPr>
        <w:t>（三）实行差异停车供给。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建立周边住宅区与新河坊商圈停车资源打通机制，实施共享停车措施。用好价格杠杆调节供需关系，维护停车秩序，确保住宅区主要道路不因商圈停车影响居民出行。利用新河坊晚上停业时间，开放地下车库给附近居民免费夜间停车。</w:t>
      </w:r>
    </w:p>
    <w:bookmarkEnd w:id="0"/>
    <w:sectPr>
      <w:footerReference r:id="rId3" w:type="default"/>
      <w:pgSz w:w="11906" w:h="16838"/>
      <w:pgMar w:top="2098" w:right="1531" w:bottom="1984" w:left="1531" w:header="1020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3304192-7A07-4C22-A07E-EAACADA7C1A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8A52D77-3550-4197-8054-DFA856775B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97AA10C-17AF-4F5D-BC83-D60A8E0DD8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8EC20DC-F05A-478B-9FA5-ED539109BC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6C69E77-96C3-4F4B-A49A-C9A57B15F34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TA0MTg0MzM1ZmMyMGEwNDA5NjFjY2NjMGRhNjQifQ=="/>
  </w:docVars>
  <w:rsids>
    <w:rsidRoot w:val="71DC5956"/>
    <w:rsid w:val="09E671EC"/>
    <w:rsid w:val="0CD81BE1"/>
    <w:rsid w:val="18CF01DA"/>
    <w:rsid w:val="21FE1D08"/>
    <w:rsid w:val="26BE7862"/>
    <w:rsid w:val="276E503D"/>
    <w:rsid w:val="2A6F54DA"/>
    <w:rsid w:val="3C287C4D"/>
    <w:rsid w:val="59633BAD"/>
    <w:rsid w:val="71DC5956"/>
    <w:rsid w:val="77A4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2023-12-19T00:39:00Z</dcterms:created>
  <dc:creator>南天星</dc:creator>
  <cp:lastModifiedBy>Administrator</cp:lastModifiedBy>
  <dcterms:modified xsi:type="dcterms:W3CDTF">2023-12-28T01:16:12Z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E3C5C99AEE10414C8E21BACEF3235DB0_11</vt:lpwstr>
  </property>
</Properties>
</file>