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微软雅黑" w:hAnsi="微软雅黑" w:eastAsia="微软雅黑" w:cs="微软雅黑"/>
          <w:sz w:val="44"/>
          <w:szCs w:val="44"/>
        </w:rPr>
      </w:pPr>
    </w:p>
    <w:p>
      <w:pPr>
        <w:spacing w:line="1000" w:lineRule="exact"/>
        <w:jc w:val="center"/>
        <w:rPr>
          <w:rFonts w:hint="eastAsia" w:ascii="方正小标宋简体" w:eastAsia="方正小标宋简体"/>
          <w:color w:val="FF0000"/>
          <w:spacing w:val="82"/>
          <w:sz w:val="84"/>
        </w:rPr>
      </w:pPr>
      <w:r>
        <w:rPr>
          <w:rFonts w:hint="eastAsia" w:ascii="方正小标宋简体" w:eastAsia="方正小标宋简体"/>
          <w:color w:val="FF0000"/>
          <w:spacing w:val="82"/>
          <w:sz w:val="84"/>
        </w:rPr>
        <w:t>慈溪市教育局</w:t>
      </w:r>
    </w:p>
    <w:p>
      <w:pPr>
        <w:spacing w:line="560" w:lineRule="exact"/>
        <w:rPr>
          <w:rFonts w:hint="default" w:ascii="仿宋_GB2312" w:eastAsia="仿宋_GB2312"/>
          <w:sz w:val="32"/>
          <w:u w:val="single" w:color="FF0000"/>
          <w:lang w:val="en-US" w:eastAsia="zh-CN"/>
        </w:rPr>
      </w:pPr>
      <w:r>
        <w:rPr>
          <w:rFonts w:hint="eastAsia" w:ascii="仿宋_GB2312" w:eastAsia="仿宋_GB2312"/>
          <w:sz w:val="32"/>
          <w:u w:val="single" w:color="FF0000"/>
          <w:lang w:val="en-US" w:eastAsia="zh-CN"/>
        </w:rPr>
        <w:t xml:space="preserve">                                                           </w:t>
      </w:r>
    </w:p>
    <w:p>
      <w:pPr>
        <w:spacing w:line="560" w:lineRule="exact"/>
        <w:jc w:val="center"/>
        <w:rPr>
          <w:rFonts w:hint="eastAsia" w:ascii="微软雅黑" w:hAnsi="微软雅黑" w:eastAsia="微软雅黑" w:cs="微软雅黑"/>
          <w:sz w:val="44"/>
          <w:szCs w:val="44"/>
        </w:rPr>
      </w:pPr>
    </w:p>
    <w:p>
      <w:pPr>
        <w:spacing w:line="560" w:lineRule="exact"/>
        <w:jc w:val="center"/>
        <w:rPr>
          <w:rFonts w:hint="eastAsia" w:ascii="微软雅黑" w:hAnsi="微软雅黑" w:eastAsia="微软雅黑" w:cs="微软雅黑"/>
          <w:sz w:val="44"/>
          <w:szCs w:val="44"/>
        </w:rPr>
      </w:pPr>
    </w:p>
    <w:p>
      <w:pPr>
        <w:spacing w:line="560" w:lineRule="exact"/>
        <w:jc w:val="center"/>
        <w:rPr>
          <w:rFonts w:ascii="微软雅黑" w:hAnsi="微软雅黑" w:eastAsia="微软雅黑" w:cs="微软雅黑"/>
          <w:sz w:val="44"/>
          <w:szCs w:val="44"/>
        </w:rPr>
      </w:pPr>
      <w:r>
        <w:rPr>
          <w:rFonts w:hint="eastAsia" w:ascii="微软雅黑" w:hAnsi="微软雅黑" w:eastAsia="微软雅黑" w:cs="微软雅黑"/>
          <w:sz w:val="44"/>
          <w:szCs w:val="44"/>
        </w:rPr>
        <w:t>关于市十七届人大五次会议</w:t>
      </w:r>
    </w:p>
    <w:p>
      <w:pPr>
        <w:spacing w:line="560" w:lineRule="exact"/>
        <w:jc w:val="center"/>
        <w:rPr>
          <w:rFonts w:ascii="微软雅黑" w:hAnsi="微软雅黑" w:eastAsia="微软雅黑" w:cs="微软雅黑"/>
          <w:sz w:val="44"/>
          <w:szCs w:val="44"/>
        </w:rPr>
      </w:pPr>
      <w:r>
        <w:rPr>
          <w:rFonts w:hint="eastAsia" w:ascii="微软雅黑" w:hAnsi="微软雅黑" w:eastAsia="微软雅黑" w:cs="微软雅黑"/>
          <w:sz w:val="44"/>
          <w:szCs w:val="44"/>
        </w:rPr>
        <w:t>第</w:t>
      </w:r>
      <w:r>
        <w:rPr>
          <w:rFonts w:ascii="微软雅黑" w:hAnsi="微软雅黑" w:eastAsia="微软雅黑" w:cs="微软雅黑"/>
          <w:sz w:val="44"/>
          <w:szCs w:val="44"/>
        </w:rPr>
        <w:t>6</w:t>
      </w:r>
      <w:r>
        <w:rPr>
          <w:rFonts w:hint="eastAsia" w:ascii="微软雅黑" w:hAnsi="微软雅黑" w:eastAsia="微软雅黑" w:cs="微软雅黑"/>
          <w:sz w:val="44"/>
          <w:szCs w:val="44"/>
        </w:rPr>
        <w:t>号</w:t>
      </w:r>
      <w:r>
        <w:rPr>
          <w:rFonts w:hint="eastAsia" w:ascii="微软雅黑" w:hAnsi="微软雅黑" w:eastAsia="微软雅黑" w:cs="微软雅黑"/>
          <w:sz w:val="44"/>
          <w:szCs w:val="44"/>
          <w:lang w:eastAsia="zh-CN"/>
        </w:rPr>
        <w:t>建议</w:t>
      </w:r>
      <w:bookmarkStart w:id="0" w:name="_GoBack"/>
      <w:bookmarkEnd w:id="0"/>
      <w:r>
        <w:rPr>
          <w:rFonts w:hint="eastAsia" w:ascii="微软雅黑" w:hAnsi="微软雅黑" w:eastAsia="微软雅黑" w:cs="微软雅黑"/>
          <w:sz w:val="44"/>
          <w:szCs w:val="44"/>
        </w:rPr>
        <w:t>的协办意见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rPr>
      </w:pPr>
      <w:r>
        <w:rPr>
          <w:rFonts w:hint="eastAsia" w:ascii="仿宋_GB2312" w:eastAsia="仿宋_GB2312"/>
          <w:sz w:val="32"/>
        </w:rPr>
        <w:t>市新市民服务中心：</w:t>
      </w:r>
    </w:p>
    <w:p>
      <w:pPr>
        <w:keepNext w:val="0"/>
        <w:keepLines w:val="0"/>
        <w:pageBreakBefore w:val="0"/>
        <w:widowControl w:val="0"/>
        <w:kinsoku/>
        <w:wordWrap/>
        <w:overflowPunct/>
        <w:topLinePunct w:val="0"/>
        <w:autoSpaceDE/>
        <w:autoSpaceDN/>
        <w:bidi w:val="0"/>
        <w:adjustRightInd/>
        <w:snapToGrid/>
        <w:spacing w:line="500" w:lineRule="exact"/>
        <w:ind w:firstLine="615"/>
        <w:textAlignment w:val="auto"/>
        <w:rPr>
          <w:rFonts w:ascii="仿宋_GB2312" w:eastAsia="仿宋_GB2312"/>
          <w:sz w:val="32"/>
        </w:rPr>
      </w:pPr>
      <w:r>
        <w:rPr>
          <w:rFonts w:hint="eastAsia" w:ascii="仿宋_GB2312" w:eastAsia="仿宋_GB2312"/>
          <w:sz w:val="32"/>
        </w:rPr>
        <w:t>陈华军代表提出的《关于留住外来务工人员的建议》收悉，</w:t>
      </w:r>
      <w:r>
        <w:rPr>
          <w:rFonts w:hint="eastAsia" w:ascii="仿宋_GB2312" w:eastAsia="仿宋_GB2312"/>
          <w:kern w:val="0"/>
          <w:sz w:val="32"/>
          <w:szCs w:val="32"/>
        </w:rPr>
        <w:t>经认真研究，</w:t>
      </w:r>
      <w:r>
        <w:rPr>
          <w:rFonts w:hint="eastAsia" w:ascii="仿宋_GB2312" w:eastAsia="仿宋_GB2312"/>
          <w:sz w:val="32"/>
        </w:rPr>
        <w:t>现提出如下协办意见：</w:t>
      </w:r>
      <w:r>
        <w:rPr>
          <w:rFonts w:ascii="仿宋_GB2312" w:eastAsia="仿宋_GB2312"/>
          <w:sz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_GB2312" w:eastAsia="仿宋_GB2312"/>
          <w:sz w:val="32"/>
        </w:rPr>
      </w:pPr>
      <w:r>
        <w:rPr>
          <w:rFonts w:hint="eastAsia" w:ascii="仿宋_GB2312" w:eastAsia="仿宋_GB2312"/>
          <w:sz w:val="32"/>
        </w:rPr>
        <w:t>一、推行与居住证量化积分相配套的随迁子女入学政</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Calibri" w:eastAsia="仿宋_GB2312"/>
          <w:sz w:val="32"/>
          <w:szCs w:val="32"/>
        </w:rPr>
      </w:pPr>
      <w:r>
        <w:rPr>
          <w:rFonts w:hint="eastAsia" w:ascii="仿宋_GB2312" w:eastAsia="仿宋_GB2312"/>
          <w:sz w:val="32"/>
        </w:rPr>
        <w:t>策。</w:t>
      </w:r>
      <w:r>
        <w:rPr>
          <w:rFonts w:hint="eastAsia" w:ascii="仿宋_GB2312" w:hAnsi="Calibri" w:eastAsia="仿宋_GB2312"/>
          <w:sz w:val="32"/>
          <w:szCs w:val="32"/>
        </w:rPr>
        <w:t>随迁子女父母一方持有《浙江省居住证》且参加我市流动人口量化积分管理，就可以在我市义务段学校申请入学。居住证办理门槛不高，流动人口只要在慈溪连续居住并在居住地申报居住登记半年以上并符合下列三个条件之一：1.有合法稳定就业；2.合法稳定住所；3.连续就读满1年及以上，上述条件比较容易达到。量化积分新市民服务管理中心每年都会定期组织网上申评。2</w:t>
      </w:r>
      <w:r>
        <w:rPr>
          <w:rFonts w:ascii="仿宋_GB2312" w:hAnsi="Calibri" w:eastAsia="仿宋_GB2312"/>
          <w:sz w:val="32"/>
          <w:szCs w:val="32"/>
        </w:rPr>
        <w:t>020</w:t>
      </w:r>
      <w:r>
        <w:rPr>
          <w:rFonts w:hint="eastAsia" w:ascii="仿宋_GB2312" w:hAnsi="Calibri" w:eastAsia="仿宋_GB2312"/>
          <w:sz w:val="32"/>
          <w:szCs w:val="32"/>
        </w:rPr>
        <w:t>学年，我市义务段学校在读流动人口随迁子女</w:t>
      </w:r>
      <w:r>
        <w:rPr>
          <w:rFonts w:ascii="仿宋_GB2312" w:hAnsi="Calibri" w:eastAsia="仿宋_GB2312"/>
          <w:sz w:val="32"/>
          <w:szCs w:val="32"/>
        </w:rPr>
        <w:t>48614</w:t>
      </w:r>
      <w:r>
        <w:rPr>
          <w:rFonts w:hint="eastAsia" w:ascii="仿宋_GB2312" w:hAnsi="Calibri" w:eastAsia="仿宋_GB2312"/>
          <w:sz w:val="32"/>
          <w:szCs w:val="32"/>
        </w:rPr>
        <w:t>人，在公办（含政府购买服务）学校就读比例为</w:t>
      </w:r>
      <w:r>
        <w:rPr>
          <w:rFonts w:ascii="仿宋_GB2312" w:hAnsi="Calibri" w:eastAsia="仿宋_GB2312"/>
          <w:sz w:val="32"/>
          <w:szCs w:val="32"/>
        </w:rPr>
        <w:t>89.48%</w:t>
      </w:r>
      <w:r>
        <w:rPr>
          <w:rFonts w:hint="eastAsia" w:ascii="仿宋_GB2312" w:hAnsi="Calibri"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5"/>
        <w:jc w:val="left"/>
        <w:textAlignment w:val="auto"/>
        <w:rPr>
          <w:rFonts w:ascii="仿宋_GB2312" w:eastAsia="仿宋_GB2312"/>
          <w:sz w:val="32"/>
        </w:rPr>
      </w:pPr>
      <w:r>
        <w:rPr>
          <w:rFonts w:ascii="仿宋_GB2312" w:eastAsia="仿宋_GB2312"/>
          <w:sz w:val="32"/>
        </w:rPr>
        <w:t>2.</w:t>
      </w:r>
      <w:r>
        <w:rPr>
          <w:rFonts w:hint="eastAsia" w:ascii="仿宋_GB2312" w:eastAsia="仿宋_GB2312"/>
          <w:sz w:val="32"/>
        </w:rPr>
        <w:t>积极稳妥做好随迁子女在我市参加升学考试工作，只要符合我市高中段招生考试报名条件，随迁子女可在我市参加中考，并在参加高中段学校招生录取时与我市户籍学生享受同等政策。2020年在我市参加高中段招生的随迁子女由2019年的2666年增加到3344人，增加比例为6.54%。</w:t>
      </w:r>
    </w:p>
    <w:p>
      <w:pPr>
        <w:keepNext w:val="0"/>
        <w:keepLines w:val="0"/>
        <w:pageBreakBefore w:val="0"/>
        <w:widowControl w:val="0"/>
        <w:kinsoku/>
        <w:wordWrap/>
        <w:overflowPunct/>
        <w:topLinePunct w:val="0"/>
        <w:autoSpaceDE/>
        <w:autoSpaceDN/>
        <w:bidi w:val="0"/>
        <w:adjustRightInd/>
        <w:snapToGrid/>
        <w:spacing w:line="500" w:lineRule="exact"/>
        <w:ind w:firstLine="645"/>
        <w:jc w:val="left"/>
        <w:textAlignment w:val="auto"/>
        <w:rPr>
          <w:rFonts w:ascii="仿宋_GB2312" w:eastAsia="仿宋_GB2312"/>
          <w:sz w:val="32"/>
        </w:rPr>
      </w:pPr>
      <w:r>
        <w:rPr>
          <w:rFonts w:hint="eastAsia" w:ascii="仿宋_GB2312" w:eastAsia="仿宋_GB2312"/>
          <w:sz w:val="32"/>
        </w:rPr>
        <w:t>3</w:t>
      </w:r>
      <w:r>
        <w:rPr>
          <w:rFonts w:ascii="仿宋_GB2312" w:eastAsia="仿宋_GB2312"/>
          <w:sz w:val="32"/>
        </w:rPr>
        <w:t>.</w:t>
      </w:r>
      <w:r>
        <w:rPr>
          <w:rFonts w:hint="eastAsia" w:ascii="仿宋_GB2312" w:eastAsia="仿宋_GB2312"/>
          <w:sz w:val="32"/>
        </w:rPr>
        <w:t>挖容扩潜，进一步扩大教育资源供给。根据常住人口规模、学龄人口及流动人口随迁子女流动变化趋势，优化流动人口随迁子女学校新一轮网点布局，通过新建、扩建、改造部分中小学，有效扩充公办教育资源供给，以满足随迁子女的教育需求。原来由政府购买服务的12所流动人口子女学校，已陆续转为公办学校。到目前为止，12所学校中仅剩2所尚未转公。同时，相关镇（街道）进一步加大对民办流动人口子女学校的扶持力度，设立专项经费，在教育设施建设、师资培训等方面给予一定经费补助，不断改善民办流动人口随迁子女学校办学条件、设施设备。</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ascii="仿宋_GB2312" w:eastAsia="仿宋_GB2312"/>
          <w:sz w:val="32"/>
        </w:rPr>
      </w:pPr>
      <w:r>
        <w:rPr>
          <w:rFonts w:hint="eastAsia" w:ascii="仿宋_GB2312" w:eastAsia="仿宋_GB2312"/>
          <w:sz w:val="32"/>
        </w:rPr>
        <w:t>4</w:t>
      </w:r>
      <w:r>
        <w:rPr>
          <w:rFonts w:ascii="仿宋_GB2312" w:eastAsia="仿宋_GB2312"/>
          <w:sz w:val="32"/>
        </w:rPr>
        <w:t>.</w:t>
      </w:r>
      <w:r>
        <w:rPr>
          <w:rFonts w:hint="eastAsia" w:ascii="仿宋_GB2312" w:eastAsia="仿宋_GB2312"/>
          <w:sz w:val="32"/>
        </w:rPr>
        <w:t>全面提升随迁子女学校办学质量。继续通过公派校长和支教教师，加强流动人口子女学校管理和教学力量。建立完善的流动人口子女学校教师专业发展培训制度，将校长、教师培训纳入省师训平台，与公办学校教师同条件参加培训。继续推进 “互联网+义务教育”中小学校结对帮扶民生实事工程，在第一轮结对基础上扩大结对帮扶面，力争乡村学校受援数达到我市乡村学校总数的</w:t>
      </w:r>
      <w:r>
        <w:rPr>
          <w:rFonts w:ascii="仿宋_GB2312" w:eastAsia="仿宋_GB2312"/>
          <w:sz w:val="32"/>
        </w:rPr>
        <w:t>90%以上，不断提升随迁子女就读学校的办学质量。</w:t>
      </w:r>
    </w:p>
    <w:p>
      <w:pPr>
        <w:keepNext w:val="0"/>
        <w:keepLines w:val="0"/>
        <w:pageBreakBefore w:val="0"/>
        <w:widowControl w:val="0"/>
        <w:kinsoku/>
        <w:wordWrap/>
        <w:overflowPunct/>
        <w:topLinePunct w:val="0"/>
        <w:autoSpaceDE/>
        <w:autoSpaceDN/>
        <w:bidi w:val="0"/>
        <w:adjustRightInd/>
        <w:snapToGrid/>
        <w:spacing w:line="500" w:lineRule="exact"/>
        <w:ind w:right="320" w:firstLine="320" w:firstLineChars="100"/>
        <w:jc w:val="right"/>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00" w:lineRule="exact"/>
        <w:ind w:right="320" w:firstLine="320" w:firstLineChars="100"/>
        <w:jc w:val="right"/>
        <w:textAlignment w:val="auto"/>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00" w:lineRule="exact"/>
        <w:ind w:right="320" w:firstLine="320" w:firstLineChars="100"/>
        <w:jc w:val="right"/>
        <w:textAlignment w:val="auto"/>
        <w:rPr>
          <w:rFonts w:ascii="仿宋_GB2312" w:eastAsia="仿宋_GB2312"/>
          <w:sz w:val="32"/>
        </w:rPr>
      </w:pPr>
      <w:r>
        <w:rPr>
          <w:rFonts w:hint="eastAsia" w:ascii="仿宋_GB2312" w:eastAsia="仿宋_GB2312"/>
          <w:sz w:val="32"/>
        </w:rPr>
        <w:t>慈溪市教育局</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jc w:val="right"/>
        <w:textAlignment w:val="auto"/>
        <w:rPr>
          <w:rFonts w:ascii="仿宋_GB2312" w:eastAsia="仿宋_GB2312"/>
          <w:sz w:val="32"/>
        </w:rPr>
      </w:pPr>
      <w:r>
        <w:rPr>
          <w:rFonts w:hint="eastAsia" w:ascii="仿宋_GB2312" w:eastAsia="仿宋_GB2312"/>
          <w:sz w:val="32"/>
        </w:rPr>
        <w:t>20</w:t>
      </w:r>
      <w:r>
        <w:rPr>
          <w:rFonts w:ascii="仿宋_GB2312" w:eastAsia="仿宋_GB2312"/>
          <w:sz w:val="32"/>
        </w:rPr>
        <w:t>21</w:t>
      </w:r>
      <w:r>
        <w:rPr>
          <w:rFonts w:hint="eastAsia" w:ascii="仿宋_GB2312" w:eastAsia="仿宋_GB2312"/>
          <w:sz w:val="32"/>
        </w:rPr>
        <w:t>年</w:t>
      </w:r>
      <w:r>
        <w:rPr>
          <w:rFonts w:hint="eastAsia" w:ascii="仿宋_GB2312" w:eastAsia="仿宋_GB2312"/>
          <w:sz w:val="32"/>
          <w:lang w:val="en-US" w:eastAsia="zh-CN"/>
        </w:rPr>
        <w:t>5</w:t>
      </w:r>
      <w:r>
        <w:rPr>
          <w:rFonts w:hint="eastAsia" w:ascii="仿宋_GB2312" w:eastAsia="仿宋_GB2312"/>
          <w:sz w:val="32"/>
        </w:rPr>
        <w:t>月</w:t>
      </w:r>
      <w:r>
        <w:rPr>
          <w:rFonts w:hint="eastAsia" w:ascii="仿宋_GB2312" w:eastAsia="仿宋_GB2312"/>
          <w:sz w:val="32"/>
          <w:lang w:val="en-US" w:eastAsia="zh-CN"/>
        </w:rPr>
        <w:t>6</w:t>
      </w:r>
      <w:r>
        <w:rPr>
          <w:rFonts w:hint="eastAsia" w:ascii="仿宋_GB2312" w:eastAsia="仿宋_GB2312"/>
          <w:sz w:val="32"/>
        </w:rPr>
        <w:t>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150"/>
        <w:textAlignment w:val="auto"/>
        <w:rPr>
          <w:rFonts w:ascii="仿宋_GB2312" w:eastAsia="仿宋_GB2312"/>
          <w:sz w:val="32"/>
        </w:rPr>
      </w:pPr>
      <w:r>
        <w:rPr>
          <w:rFonts w:hint="eastAsia" w:ascii="仿宋_GB2312" w:eastAsia="仿宋_GB2312"/>
          <w:sz w:val="32"/>
        </w:rPr>
        <w:t>联系人</w:t>
      </w:r>
      <w:r>
        <w:rPr>
          <w:rFonts w:ascii="仿宋_GB2312" w:eastAsia="仿宋_GB2312"/>
          <w:sz w:val="32"/>
        </w:rPr>
        <w:t xml:space="preserve">: </w:t>
      </w:r>
      <w:r>
        <w:rPr>
          <w:rFonts w:hint="eastAsia" w:ascii="仿宋_GB2312" w:eastAsia="仿宋_GB2312"/>
          <w:sz w:val="32"/>
        </w:rPr>
        <w:t>周红央</w:t>
      </w:r>
      <w:r>
        <w:rPr>
          <w:rFonts w:hint="eastAsia" w:ascii="仿宋_GB2312" w:eastAsia="仿宋_GB2312"/>
          <w:sz w:val="32"/>
          <w:lang w:val="en-US" w:eastAsia="zh-CN"/>
        </w:rPr>
        <w:t>,</w:t>
      </w:r>
      <w:r>
        <w:rPr>
          <w:rFonts w:hint="eastAsia" w:ascii="仿宋_GB2312" w:eastAsia="仿宋_GB2312"/>
          <w:sz w:val="32"/>
        </w:rPr>
        <w:t>联系电话：63919027</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1F"/>
    <w:rsid w:val="00014394"/>
    <w:rsid w:val="000F6F56"/>
    <w:rsid w:val="001C5FB6"/>
    <w:rsid w:val="00440842"/>
    <w:rsid w:val="005C770D"/>
    <w:rsid w:val="00707A1F"/>
    <w:rsid w:val="007E288B"/>
    <w:rsid w:val="008B0FFF"/>
    <w:rsid w:val="008E67D2"/>
    <w:rsid w:val="00B913F8"/>
    <w:rsid w:val="00BA1F12"/>
    <w:rsid w:val="00C03E68"/>
    <w:rsid w:val="00F00802"/>
    <w:rsid w:val="00F61730"/>
    <w:rsid w:val="173164D0"/>
    <w:rsid w:val="3D2A62D0"/>
    <w:rsid w:val="456F4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rFonts w:ascii="Times New Roman" w:hAnsi="Times New Roman" w:eastAsia="宋体" w:cs="Times New Roman"/>
      <w:sz w:val="18"/>
      <w:szCs w:val="18"/>
    </w:rPr>
  </w:style>
  <w:style w:type="character" w:customStyle="1" w:styleId="8">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 10</Company>
  <Pages>2</Pages>
  <Words>143</Words>
  <Characters>818</Characters>
  <Lines>6</Lines>
  <Paragraphs>1</Paragraphs>
  <TotalTime>0</TotalTime>
  <ScaleCrop>false</ScaleCrop>
  <LinksUpToDate>false</LinksUpToDate>
  <CharactersWithSpaces>960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2021-04-27T06:19:00Z</dcterms:created>
  <dc:creator>Windows 10</dc:creator>
  <cp:lastModifiedBy>Administrator</cp:lastModifiedBy>
  <dcterms:modified xsi:type="dcterms:W3CDTF">2021-05-06T02:35:25Z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