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153" w:firstLineChars="23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类别标记：A</w:t>
      </w:r>
    </w:p>
    <w:p>
      <w:pPr>
        <w:widowControl/>
        <w:ind w:firstLine="11799" w:firstLineChars="1900"/>
        <w:rPr>
          <w:rFonts w:ascii="新宋体" w:hAnsi="新宋体" w:eastAsia="新宋体" w:cs="宋体"/>
          <w:b/>
          <w:bCs/>
          <w:color w:val="FF0000"/>
          <w:kern w:val="0"/>
          <w:sz w:val="63"/>
          <w:szCs w:val="63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方正小标宋简体" w:hAnsi="新宋体" w:eastAsia="方正小标宋简体" w:cs="宋体"/>
          <w:bCs/>
          <w:color w:val="FF0000"/>
          <w:spacing w:val="1"/>
          <w:w w:val="84"/>
          <w:kern w:val="0"/>
          <w:sz w:val="72"/>
          <w:szCs w:val="72"/>
          <w:fitText w:val="7950" w:id="-1762382336"/>
        </w:rPr>
        <w:t>慈溪市金融发展服务中心文</w:t>
      </w:r>
      <w:r>
        <w:rPr>
          <w:rFonts w:hint="eastAsia" w:ascii="方正小标宋简体" w:hAnsi="新宋体" w:eastAsia="方正小标宋简体" w:cs="宋体"/>
          <w:bCs/>
          <w:color w:val="FF0000"/>
          <w:spacing w:val="51"/>
          <w:w w:val="84"/>
          <w:kern w:val="0"/>
          <w:sz w:val="72"/>
          <w:szCs w:val="72"/>
          <w:fitText w:val="7950" w:id="-1762382336"/>
        </w:rPr>
        <w:t>件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ind w:firstLine="311" w:firstLineChars="1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eastAsia="仿宋_GB2312"/>
          <w:sz w:val="32"/>
          <w:szCs w:val="32"/>
        </w:rPr>
        <w:t>慈金建〔202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                      签发人:陈庆杰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pict>
          <v:rect id="_x0000_i1025" o:spt="1" style="height:1.5pt;width:407pt;" fillcolor="#FF0000" filled="t" stroked="f" coordsize="21600,21600" o:hr="t" o:hrstd="t" o:hrnoshade="t" o:hrpct="98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关于市十八届人大一次会议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第149号建议的答复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hint="eastAsia" w:ascii="方正小标宋简体" w:eastAsia="方正小标宋简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沈雨风代表：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您提出的建议《关于加大信贷支持，培育“专精特新”企业的建议》收悉。我中心及时组织人员进行了认真研究，并积极同协办单位市财政局、市经信局、市大数据发展中心、人行慈溪市支行进行了沟通商议，现提出如下具体承办</w:t>
      </w:r>
      <w:r>
        <w:rPr>
          <w:rFonts w:hint="eastAsia" w:ascii="仿宋_GB2312" w:eastAsia="仿宋_GB2312"/>
          <w:sz w:val="32"/>
        </w:rPr>
        <w:t>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22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目前，我市共有国家重点小巨人企业5家，国家级专精特新“小巨人”企业24家，宁波市级“专精特新”中小企业41家，147家企业列入2021-2022年宁波市“专精特新”培育名单，数量位居宁波前列。为支持“专精特新”企业健康稳定发展，主要开展了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22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一、强化精准金融服务，巩固融资畅通成效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（一）搭建“政银企”平台，引入“金融活水”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支持“专精特新”中小企业健康发展，增强我市经济创新力和竞争力，去年9月，市金融发展服务中心、市经信局、人行慈溪支行、慈溪工贸集团联合主办了“专精特新”中小企业专场挂牌及融资对接会。通过慈溪工贸集团、宁波股权交易中心、参会银行机构对政策性担保政策、宁波股权交易中心“专精特新”板块挂牌条件及优惠政策、特色创新金融产品、融资利率、政策奖励等详细介绍，帮助企业借力各类金融工具高效融资和对接资本市场。该场对接会企业与银行达成意向融资约8000万元。今年4月，我市再次召开甬股交拟挂牌企业融资对接会，鼓励高新技术企业、创业创新企业、成长型企业在宁波股权交易中心挂牌，帮助产业链重点企业精准享受优惠信贷政策，此次融资对接会达成意向融资约6000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/>
        <w:textAlignment w:val="auto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（二）加大信贷支持力度，拓宽融资渠道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1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一是人行慈溪支行</w:t>
      </w:r>
      <w:r>
        <w:rPr>
          <w:rFonts w:hint="eastAsia" w:ascii="仿宋_GB2312" w:hAnsi="黑体" w:eastAsia="仿宋_GB2312"/>
          <w:sz w:val="32"/>
          <w:szCs w:val="32"/>
        </w:rPr>
        <w:t>联合市场监管局推进知识产权质押融资工作。通过货币政策工具倾斜、银行机构综合评价加分等措施，引导辖区银行机构推出“商标贷”“专利贷”等特色产品，在财务报表、经营年限等方面适当降低授信门槛。同时，开展知识产权质押融资专项对接月活动、知识产权金融服务“入园惠企”行动等，组织金融机构进园入企，开展政策宣讲和产品推介，对外实行利率优惠、费用减免，对内强化内部资金转移定价、专项奖励，加大知识产权质押融资工作力度。二是积极推广科技创新再贷款。人民银行总行于2022年推出了科技创新再贷款，该工具支持企业范围包括：高新技术企业、专精特新中小企业、国家技术创新示范企业、制造业单项冠军企业等科技企业。全国总额度为2000亿元，利率1.75%，采取“先贷后借”的直达机制。金融机构向企业发放贷款后，人民银行按季对符合要求的贷款期限6个月及以上的科技企业贷款本金的60%提供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二、聚焦企业培育工程，推进企服平台建设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ascii="楷体_GB2312" w:hAnsi="仿宋" w:eastAsia="楷体_GB2312" w:cs="仿宋"/>
          <w:b/>
          <w:bCs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（一）多渠道强化培育赋能，助力企业发展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织近百名专精特新“小巨人”企业和培育企业总经理、技术总监、财务总监和董秘等高管参加宁波市优质中小企业培育提升活动，走进西北工业大学、清华大学、健峰等学校机构，通过战略、技术、市场、资本等培育赋能，全面提升企业创新发展能力。针对北交所成立之际，对接宁波股权交易中心有限公司，邀请专家对重点“小巨人”企业开展“点对点”咨询服务，为企业发展助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（二）抓好企服体系建设，营造良好氛围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一是高效运营“市企业发展服务平台暨8718公共服务慈溪平台，建立与全市42个涉企服务部门、19个镇街道（园区）企服窗口平台、N家市场化专业服务机构定期联动机制，有效提升政策帮享、困难帮解、企情帮言、市场帮需的“四帮服务”实效。二是抓好市场化服务平台建设，</w:t>
      </w:r>
      <w:r>
        <w:rPr>
          <w:rFonts w:hint="eastAsia" w:ascii="仿宋_GB2312" w:eastAsia="仿宋_GB2312" w:cs="仿宋"/>
          <w:kern w:val="0"/>
          <w:sz w:val="32"/>
          <w:szCs w:val="32"/>
        </w:rPr>
        <w:t>积极培育市场化、专业化服务机构体系，</w:t>
      </w:r>
      <w:r>
        <w:rPr>
          <w:rFonts w:hint="eastAsia" w:ascii="仿宋_GB2312" w:hAnsi="仿宋" w:eastAsia="仿宋_GB2312" w:cs="仿宋"/>
          <w:sz w:val="32"/>
          <w:szCs w:val="32"/>
        </w:rPr>
        <w:t>新认定3个市级公共服务平台，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其中慈溪市帮企一把信息服务有限公司获市级示范平台。</w:t>
      </w:r>
      <w:r>
        <w:rPr>
          <w:rFonts w:hint="eastAsia" w:ascii="仿宋_GB2312" w:hAnsi="仿宋" w:eastAsia="仿宋_GB2312" w:cs="仿宋"/>
          <w:sz w:val="32"/>
          <w:szCs w:val="32"/>
        </w:rPr>
        <w:t>推进“企业码”慈溪专区建设并做好迭代升级，打造创新应用场景，目前，浙江省“专精特新”中小企业及宁波市“专精特新”中小企业已实现“码上申报”。三是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征集国家专精特新“小巨人”企业典型案例，</w:t>
      </w:r>
      <w:r>
        <w:rPr>
          <w:rFonts w:hint="eastAsia" w:ascii="仿宋_GB2312" w:eastAsia="仿宋_GB2312" w:cs="宋体"/>
          <w:kern w:val="0"/>
          <w:sz w:val="32"/>
          <w:szCs w:val="32"/>
        </w:rPr>
        <w:t>挖掘提炼</w:t>
      </w:r>
      <w:r>
        <w:rPr>
          <w:rFonts w:hint="eastAsia" w:ascii="仿宋_GB2312" w:eastAsia="仿宋_GB2312" w:cs="仿宋_GB2312"/>
          <w:sz w:val="32"/>
          <w:szCs w:val="32"/>
        </w:rPr>
        <w:t>专精特新“小巨人”企业发展成果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在慈溪日报、慈溪工</w:t>
      </w:r>
      <w:r>
        <w:rPr>
          <w:rFonts w:hint="eastAsia" w:ascii="仿宋_GB2312" w:hAnsi="仿宋" w:eastAsia="仿宋_GB2312" w:cs="仿宋"/>
          <w:sz w:val="32"/>
          <w:szCs w:val="32"/>
        </w:rPr>
        <w:t>业、慈溪经信公众号等媒体进行公开宣传报导，宣扬树立典型标杆，为中小企业提升创新能力和专业化水平提供现实榜样。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针对您提到的建议一：“</w:t>
      </w:r>
      <w:r>
        <w:rPr>
          <w:rFonts w:hint="eastAsia" w:ascii="仿宋_GB2312" w:hAnsi="仿宋" w:eastAsia="仿宋_GB2312" w:cs="仿宋"/>
          <w:sz w:val="32"/>
          <w:szCs w:val="32"/>
        </w:rPr>
        <w:t>建议引导建立“银行+保险+风险池”或“银行+融担+风险池”的风险分担机制，充分发挥政策引导和金融支持企业科技创新的双重效应，为初创型、成长型科技企业发展保驾护航”，市财政局落实了科技金融政策措施，鼓励金融机构支持科技创新信贷投放，缓解科技型中小企业融资难问题。2020年10月，市财政局联合市科技局制定出台了《慈溪市科技信贷风险池资金使用管理办法》，采用“政府和保险（担保）和银行”三方合作模式，风险分担比例分别为30%：40%：30%（其中科技企业孵化器中在孵化企业的风险分担比例为40%：40%：20%），截至目前市财政已安排1050万元专项资金用于科技信贷风险池建设，通过20倍放大效应，科技型中小企业可贷资金达2.1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针对您提到的建议二和建议三：</w:t>
      </w:r>
      <w:r>
        <w:rPr>
          <w:rFonts w:hint="eastAsia" w:ascii="仿宋_GB2312" w:hAnsi="仿宋" w:eastAsia="仿宋_GB2312" w:cs="仿宋"/>
          <w:sz w:val="32"/>
          <w:szCs w:val="32"/>
        </w:rPr>
        <w:t>即上述第一大点和第二大点已开展的工作内容。下步，将通过考核激励机制，进一步引导金融机构加强联动，充分利用各类资源，加大对战略型新型产业领域的创新型、创业型、高成长型企业的信贷支持力度，创新推出更多特色性金融产品，实现知识产权质押融资业务增量扩面，有效满足全市科技型企业知识产权质押融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针对您提到的建议四：</w:t>
      </w:r>
      <w:r>
        <w:rPr>
          <w:rFonts w:hint="eastAsia" w:ascii="仿宋_GB2312" w:hAnsi="仿宋" w:eastAsia="仿宋_GB2312" w:cs="仿宋"/>
          <w:sz w:val="32"/>
          <w:szCs w:val="32"/>
        </w:rPr>
        <w:t>“建议政府部门搭建信用信息大数据云平台”，</w:t>
      </w:r>
      <w:r>
        <w:rPr>
          <w:rFonts w:hint="eastAsia" w:ascii="仿宋_GB2312" w:hAnsi="黑体" w:eastAsia="仿宋_GB2312" w:cs="仿宋"/>
          <w:sz w:val="32"/>
          <w:szCs w:val="32"/>
        </w:rPr>
        <w:t>目前市场监管局正在建设企业信用云服务平台二期，面向政府部门和金融机构建立起资源共享的“企业信用数据中心”，为政府部门提供精准有效信用监管服务，为金融机构精准服务中小企业提供支撑，为企业充分掌握自身管辖归属单位、经营状况、信用情况、风险等级等监管类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最后，衷心感谢您对我们工作的关心和支持，希望今后继续对我们的工作多提宝贵意见和建议。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160" w:firstLine="3888" w:firstLineChars="125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慈溪市金融发展服务中心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640" w:firstLine="622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600" w:hanging="1555" w:hangingChars="500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600" w:hanging="1555" w:hangingChars="5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600" w:hanging="1555" w:hangingChars="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    送：市人大代表工委，市政府办公室，市财政局、市经信局，市大数据发展中心、人行慈溪市支行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人：应梦晶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联系电话：63</w:t>
      </w:r>
      <w:r>
        <w:rPr>
          <w:rFonts w:ascii="仿宋_GB2312" w:eastAsia="仿宋_GB2312"/>
          <w:sz w:val="32"/>
          <w:szCs w:val="32"/>
        </w:rPr>
        <w:t>83</w:t>
      </w:r>
      <w:r>
        <w:rPr>
          <w:rFonts w:hint="eastAsia" w:ascii="仿宋_GB2312" w:eastAsia="仿宋_GB2312"/>
          <w:sz w:val="32"/>
          <w:szCs w:val="32"/>
        </w:rPr>
        <w:t>7372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021" w:footer="1588" w:gutter="0"/>
      <w:pgNumType w:fmt="numberInDash"/>
      <w:cols w:space="425" w:num="1"/>
      <w:docGrid w:type="linesAndChars" w:linePitch="5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7122496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7122500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ZGVlY2E0OWU5MzgzMTg0YmJiMDViZTNlN2UwOTQifQ=="/>
  </w:docVars>
  <w:rsids>
    <w:rsidRoot w:val="00CA39F2"/>
    <w:rsid w:val="00050F09"/>
    <w:rsid w:val="00064326"/>
    <w:rsid w:val="000D249E"/>
    <w:rsid w:val="000E7C1B"/>
    <w:rsid w:val="001000E8"/>
    <w:rsid w:val="00137167"/>
    <w:rsid w:val="0014465F"/>
    <w:rsid w:val="001C08F3"/>
    <w:rsid w:val="001F3D30"/>
    <w:rsid w:val="00230238"/>
    <w:rsid w:val="002508BA"/>
    <w:rsid w:val="00254441"/>
    <w:rsid w:val="002B03CD"/>
    <w:rsid w:val="00334620"/>
    <w:rsid w:val="003A608F"/>
    <w:rsid w:val="003C505F"/>
    <w:rsid w:val="00425DC3"/>
    <w:rsid w:val="005137C6"/>
    <w:rsid w:val="00573A9E"/>
    <w:rsid w:val="005832D4"/>
    <w:rsid w:val="005A0E10"/>
    <w:rsid w:val="005A5C94"/>
    <w:rsid w:val="005F4BCA"/>
    <w:rsid w:val="00680F9E"/>
    <w:rsid w:val="006B4519"/>
    <w:rsid w:val="006E6B68"/>
    <w:rsid w:val="00704415"/>
    <w:rsid w:val="00887ED7"/>
    <w:rsid w:val="008A4573"/>
    <w:rsid w:val="008B1282"/>
    <w:rsid w:val="00901824"/>
    <w:rsid w:val="00915236"/>
    <w:rsid w:val="009A5D86"/>
    <w:rsid w:val="00A67FDD"/>
    <w:rsid w:val="00A70F19"/>
    <w:rsid w:val="00A7513D"/>
    <w:rsid w:val="00B45894"/>
    <w:rsid w:val="00B77835"/>
    <w:rsid w:val="00BD0A27"/>
    <w:rsid w:val="00BE5384"/>
    <w:rsid w:val="00C30E0F"/>
    <w:rsid w:val="00CA39F2"/>
    <w:rsid w:val="00CE666D"/>
    <w:rsid w:val="00D132F3"/>
    <w:rsid w:val="00D33B6B"/>
    <w:rsid w:val="00DB6300"/>
    <w:rsid w:val="00EA4CBE"/>
    <w:rsid w:val="00EF3B0B"/>
    <w:rsid w:val="00EF7CDD"/>
    <w:rsid w:val="00F16899"/>
    <w:rsid w:val="00F94B5B"/>
    <w:rsid w:val="2AC25CED"/>
    <w:rsid w:val="37BE5685"/>
    <w:rsid w:val="41C41A9E"/>
    <w:rsid w:val="5DA514EC"/>
    <w:rsid w:val="6B4524CD"/>
    <w:rsid w:val="6C73715C"/>
    <w:rsid w:val="77E40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Body text|1"/>
    <w:basedOn w:val="1"/>
    <w:qFormat/>
    <w:uiPriority w:val="0"/>
    <w:pPr>
      <w:spacing w:line="441" w:lineRule="auto"/>
      <w:ind w:firstLine="400"/>
      <w:jc w:val="left"/>
    </w:pPr>
    <w:rPr>
      <w:rFonts w:ascii="宋体" w:hAnsi="宋体" w:cs="宋体"/>
      <w:sz w:val="30"/>
      <w:szCs w:val="30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B9B5-C014-4C41-88B7-3CF753221E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2172</Words>
  <Characters>2276</Characters>
  <Lines>12</Lines>
  <Paragraphs>3</Paragraphs>
  <TotalTime>1</TotalTime>
  <ScaleCrop>false</ScaleCrop>
  <LinksUpToDate>false</LinksUpToDate>
  <CharactersWithSpaces>2333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2019-05-05T00:42:00Z</dcterms:created>
  <dc:creator>Chen Ann</dc:creator>
  <cp:lastModifiedBy>风口飞起来的猪</cp:lastModifiedBy>
  <cp:lastPrinted>2020-09-11T01:04:00Z</cp:lastPrinted>
  <dcterms:modified xsi:type="dcterms:W3CDTF">2022-06-30T07:11:52Z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E1B8AF79C0634A0EBCDFD2EE7773937D</vt:lpwstr>
  </property>
</Properties>
</file>