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60" w:lineRule="atLeast"/>
        <w:jc w:val="right"/>
        <w:rPr>
          <w:rFonts w:hint="eastAsia" w:ascii="楷体" w:hAnsi="楷体" w:eastAsia="楷体" w:cs="楷体"/>
          <w:sz w:val="32"/>
        </w:rPr>
      </w:pPr>
      <w:r>
        <w:rPr>
          <w:rFonts w:hint="eastAsia" w:ascii="黑体" w:hAnsi="黑体" w:eastAsia="黑体" w:cs="黑体"/>
          <w:sz w:val="32"/>
        </w:rPr>
        <w:t>类别标记：</w:t>
      </w:r>
      <w:r>
        <w:rPr>
          <w:rFonts w:hint="eastAsia" w:ascii="黑体" w:hAnsi="黑体" w:eastAsia="黑体" w:cs="黑体"/>
          <w:sz w:val="32"/>
          <w:lang w:val="en-US" w:eastAsia="zh-CN"/>
        </w:rPr>
        <w:t>A</w:t>
      </w:r>
      <w:r>
        <w:rPr>
          <w:rFonts w:hint="eastAsia" w:ascii="黑体" w:hAnsi="黑体" w:eastAsia="黑体" w:cs="黑体"/>
          <w:sz w:val="32"/>
        </w:rPr>
        <w:t xml:space="preserve"> </w:t>
      </w:r>
    </w:p>
    <w:p>
      <w:pPr>
        <w:spacing w:line="460" w:lineRule="atLeast"/>
        <w:jc w:val="right"/>
        <w:rPr>
          <w:rFonts w:hint="eastAsia" w:ascii="仿宋_GB2312" w:cs="Times New Roman"/>
          <w:sz w:val="32"/>
        </w:rPr>
      </w:pPr>
    </w:p>
    <w:p>
      <w:pPr>
        <w:spacing w:line="460" w:lineRule="atLeast"/>
        <w:jc w:val="center"/>
        <w:rPr>
          <w:rFonts w:hint="eastAsia" w:ascii="方正小标宋简体" w:eastAsia="方正小标宋简体" w:cs="Times New Roman"/>
          <w:color w:val="FF0000"/>
          <w:sz w:val="86"/>
          <w:szCs w:val="86"/>
        </w:rPr>
      </w:pPr>
      <w:r>
        <w:rPr>
          <w:rFonts w:hint="eastAsia" w:ascii="方正小标宋简体" w:eastAsia="方正小标宋简体" w:cs="Times New Roman"/>
          <w:color w:val="FF0000"/>
          <w:sz w:val="86"/>
          <w:szCs w:val="86"/>
        </w:rPr>
        <w:t>慈溪市农业</w:t>
      </w:r>
      <w:r>
        <w:rPr>
          <w:rFonts w:hint="eastAsia" w:ascii="方正小标宋简体" w:eastAsia="方正小标宋简体" w:cs="Times New Roman"/>
          <w:color w:val="FF0000"/>
          <w:sz w:val="86"/>
          <w:szCs w:val="86"/>
          <w:lang w:eastAsia="zh-CN"/>
        </w:rPr>
        <w:t>农村</w:t>
      </w:r>
      <w:r>
        <w:rPr>
          <w:rFonts w:hint="eastAsia" w:ascii="方正小标宋简体" w:eastAsia="方正小标宋简体" w:cs="Times New Roman"/>
          <w:color w:val="FF0000"/>
          <w:sz w:val="86"/>
          <w:szCs w:val="86"/>
        </w:rPr>
        <w:t>局</w:t>
      </w:r>
      <w:r>
        <w:rPr>
          <w:rFonts w:hint="eastAsia" w:ascii="方正小标宋简体" w:eastAsia="方正小标宋简体" w:cs="Times New Roman"/>
          <w:color w:val="FF0000"/>
          <w:sz w:val="86"/>
          <w:szCs w:val="86"/>
          <w:lang w:eastAsia="zh-CN"/>
        </w:rPr>
        <w:t>文</w:t>
      </w:r>
      <w:r>
        <w:rPr>
          <w:rFonts w:hint="eastAsia" w:ascii="方正小标宋简体" w:eastAsia="方正小标宋简体" w:cs="Times New Roman"/>
          <w:color w:val="FF0000"/>
          <w:sz w:val="86"/>
          <w:szCs w:val="86"/>
        </w:rPr>
        <w:t>件</w:t>
      </w:r>
    </w:p>
    <w:p>
      <w:pPr>
        <w:spacing w:line="460" w:lineRule="atLeast"/>
        <w:jc w:val="center"/>
        <w:rPr>
          <w:rFonts w:hint="eastAsia" w:ascii="仿宋_GB2312" w:cs="Times New Roman"/>
          <w:sz w:val="32"/>
        </w:rPr>
      </w:pPr>
    </w:p>
    <w:p>
      <w:pPr>
        <w:spacing w:line="460" w:lineRule="atLeast"/>
        <w:jc w:val="center"/>
        <w:rPr>
          <w:rFonts w:hint="eastAsia" w:ascii="仿宋_GB2312" w:cs="Times New Roman"/>
          <w:sz w:val="32"/>
        </w:rPr>
      </w:pPr>
    </w:p>
    <w:p>
      <w:pPr>
        <w:spacing w:line="320" w:lineRule="exact"/>
        <w:jc w:val="center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慈农建〔20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Times New Roman"/>
          <w:sz w:val="32"/>
          <w:szCs w:val="32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Times New Roman"/>
          <w:sz w:val="32"/>
          <w:szCs w:val="32"/>
        </w:rPr>
        <w:t xml:space="preserve">号　　　    　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签发人：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马科听</w:t>
      </w:r>
    </w:p>
    <w:p>
      <w:pPr>
        <w:spacing w:line="320" w:lineRule="exact"/>
        <w:jc w:val="center"/>
        <w:rPr>
          <w:rFonts w:hint="eastAsia" w:ascii="仿宋_GB2312" w:cs="Times New Roman"/>
          <w:sz w:val="32"/>
          <w:szCs w:val="32"/>
        </w:rPr>
      </w:pPr>
      <w:r>
        <w:rPr>
          <w:rFonts w:ascii="仿宋_GB2312" w:cs="Times New Roman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193040</wp:posOffset>
                </wp:positionV>
                <wp:extent cx="5958840" cy="23495"/>
                <wp:effectExtent l="0" t="9525" r="3810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8840" cy="2349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.55pt;margin-top:15.2pt;height:1.85pt;width:469.2pt;z-index:251660288;mso-width-relative:page;mso-height-relative:page;" filled="f" stroked="t" coordsize="21600,21600" o:gfxdata="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ozR8i2QAAAAkBAAAPAAAAAAAAAAEAIAAAACIAAABk&#10;cnMvZG93bnJldi54bWxQSwECFAAUAAAACACHTuJA7D6EwwUCAAABBAAADgAAAAAAAAABACAAAAAo&#10;AQAAZHJzL2Uyb0RvYy54bWxQSwUGAAAAAAYABgBZAQAAn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对市十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届人大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三次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会议第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徐金苗代表: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您提出的《关于加强农业品牌建设的建议》已收悉，我局及时组织人员进行了认真研究，并提出具体承办意见，经局长办公会议研究同意，现答复如下：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发展品牌农业是现代农业发展的必然要求，也是实现乡村振兴和共同富裕的重要途径。近年来我市大力实施农产品品牌战略，坚持质量兴农、绿色兴农、品牌强农，强化农业品牌顶层设计和制度创设，以品种、品质、品牌三品为抓手，打响区域公共品牌，建立“子母品牌”管理体系，不断提高慈溪优质农产品市场竞争力，促进农民增收致富。主要做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一、在“品”上下功夫，夯实品牌建设发展基础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一是强化品种繁育。实施种业提升行动，利用区试站，开展优质水稻、花生、玉米等新品种引种推广，建设杨梅、葡萄、大白蚕等传统特色品种种质资源圃，做强大植组培工厂、嘉沃科技等种子种苗企业，着力构建“育繁推服一体化”的现代种业发展体系，为农业筑牢种子“芯片”。二是建立标准体系。坚持把“产得绿色生态、吃得安全健康”作为品牌塑造的核心，使产地、产品的绿色生态成为品牌的“卖点”。编制19个主导农产品标准化生产模式图，加强农技推广指导，不断提升农业标准化生产水平。三是实施双强行动。依托杭州湾现代农业研究院、正大中国区食品研发中心等农业科研院企，加大与国内外科研院校等合作力度，推进先进适用技术成果转化。深化省农机高质量发展示范县创建成果，发挥鑫百勤、谷瑞机电等农牧装备企业示范带头作用，打造农机装备产业集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二、在“牌”上做文章，构筑“子母品牌”双轮驱动模式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一是聚焦特色优质。坚持走“人无我有、人有我优、人优我特”的发展道路，整合资源要素，发展乡村“土特产”产业，深化农业全产业链延伸。全市已发展形成鸣鹤年糕、宁波汤圆等乡土特色产业，形成蔬菜、杨梅、葡萄、蜜梨、生猪、蛋鸡、南美白对虾等特色主导产业，已建成年产值18亿元的省级示范性农业全产业链1条。二是打造区域公共品牌。推出慈溪农产品整体公共品牌“慈溪优选”，策划设计“慈溪杨梅”、“慈溪葡萄”、“慈溪蜜梨”单品牌区域公共品牌，开展“慈农优选”伴手礼和农产品包装设计，已设计提升“慈溪杨梅”、“慈溪葡萄”、“那只梨”、“胜山红”、“慈溪老味道”、“海桃”、“慈米”“太阳西瓜”、草莓包装</w:t>
      </w:r>
      <w:bookmarkEnd w:id="0"/>
      <w:r>
        <w:rPr>
          <w:rFonts w:hint="eastAsia" w:ascii="仿宋" w:hAnsi="仿宋" w:eastAsia="仿宋" w:cs="仿宋"/>
          <w:spacing w:val="-16"/>
          <w:sz w:val="32"/>
          <w:szCs w:val="32"/>
        </w:rPr>
        <w:t>等9款包装。强化“慈农优选”授权工作，每年度新增20个授权农产品，累计授权100余家企业、合作社使用。三是打造企业品牌。充分发挥我市加工与外向优势，加快加工与品牌融合发展，扩大高端农产品市场占有率。我市徐龙烤鳗、海通果蔬、恒康炒货、正大无抗鸡蛋等农产品品牌声名鹊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三是在“推”上动脑筋，营造品牌比学赶超氛围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一是深化展示展销推介。每年组织100多家企业参与中国农交会、浙江省农博会、东京食品展等国内外展示展销活动20多次，开展葡萄、蜜梨、水蜜桃、杨梅、西瓜等特色水果评比活动和组织举办“慈农优选•丰收共享”系列节庆活动、慈农优选·供销集市等展销活动10场左右，努力打造农旅节庆品牌。二是强化品牌宣传营销。通过cctv7、高铁7条线路对慈溪杨梅进行宣传，帮助杨梅线上销售超100万单。在慈溪新闻网、慈溪发布、慈晓等新媒体平台设立”三农”专题页面，及时发布三农动态，持续激发全市“农产品品牌扶持”的动力活力。分发挥产业行业协会的桥梁作用，引导行业协会通过贯宣惠企富农政策、解读政策方针、对接公共服务机构、协调开展服务等工作进一步发挥协会服务职能作用，提升行业凝聚力，帮助部门政策措施更好更快落地。三是聚焦文旅电商融合推动。充分挖掘慈溪悠久的农耕文化，讲好慈溪农业故事，使慈溪名特优农产品不但“好吃”，而且“好看、好玩”。设立“慈农优选”专柜、专供基地和直播间等平台，在农产品展销中心、农事服务中心、村级综合服务社和城区农产品经营门店设立“慈农优选”产品专柜，产品入驻丰收互联、“网上农博”、“慈溪馆”等线上平台，建设杨梅博物馆、蜜梨博物馆等一批农业农村文化博物馆，与“宁大科院”开展合作设立直播基地，大力发展休闲农业和乡村旅游，在卖产品的同时卖风景、卖文化、卖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四是在“扶”上强保障，激活品牌健康发展原动力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一是加强农业品牌扶持力度。每年制定农业产业高质量发展扶持政策，在产业政策中明确鼓励创树农业名牌，加大对农业经营主体扶持。新获宁波市级及以上优质农产品金银奖、特等奖、擂主奖的，最高奖励1万元/个。对赴省内外参展的主体，每次给予0.3-0.5万元奖励，赴国（境）外参展的，每次给予1-2万元奖励，特装展示或举办农产品专场推介会的，最高奖励5万元/家。对新认证、续展认证绿色食品的，分别给予2.5万元/个、2万元/个奖励，对新获农产品地理标志（证明商标）的，每件奖励10万元。创建宁波市精品绿色农产品基地的，每个补助60万元。为加强我市区域公用品牌建设，我市已开展慈溪蜜梨地理标志农产品保护工程项目、慈溪杨梅地理标志保护工程项目，统筹安排1000万元，提升我市蜜梨、杨梅市场竞争力，打响品牌知名度。《2023年慈溪市推进产业高质量发展的政策意见》对“地理标志”证明商标出台奖补政策：对“地理标志”证明商标权利人拥有红标使用企业超过20家的，给予权利人每件“地理标志”证明商标一次性5万元的奖励。政府对新核准注册证明商标的团队、协会或其他形式组织，给予每家不超过3万元资助；对于新核准注册的产业集群集体商标，给予权利人每件不超过3万元资助。二是建立长效服务机制。市农合联梳理制作了《“慈农优选”产品信息画册》，方便对接采购和推介。建立品牌指导服务站，围绕《浙江省品牌指导服务站建设工作指导意见》，依托相关行业协会、村集体合作社、产业园等建设相关地标产品品牌指导服务站，打造“一标一站”服务模式，全面畅通沟通交流渠道，提升行业品牌公共服务水平。持续落实慈溪品牌培育库计划，与农业主管部门、行业协会对接，今年已将“慈溪西兰花”纳入地理标志培育工作。三是加强打击保护力度。广泛走访“红标”合法使用人，加强与地理标志权利人、“红标”合法使用人的沟通联系，重点检查产品的相应标准、管理规范或相关使用管理规则落实情况，“红标”使用情况及是否规范，及时收集和掌握各方面的侵权线索。积极组织“红标”合法使用人上链，指导其认真填报上链的产品信息，特别是原产地范围、产品特征、质量要求、检测报告、自然和人文因素等描述，目前已注册上线浙冷链49家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下一步，我市将充分参考您提出的意见建议，在以下几方面推进品牌建设：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一是加强农业经营主体培育。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出台乡村人才振兴扶持政策，大力培育新农人、农创客等农业人才，继续推进农业龙头企业、家庭农场、农民专业合作社等扶持，继续实施主体示范奖励、龙头企业高成长奖励、规模补助、贷款贴息等政策，并大力推进基层农技推广体系建设，给予农业经营主体一对一农技指导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二是加强农产品质量安全和品质提升。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品质是品牌的基础和保障，继续加强农产品标准化生产体系建设，全面推广农产品质量安全承诺制，加强执法力度，确保农产品质量安全、品质保证。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三是加强品牌扶持力度。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在慈溪市级支农资金中安排品牌扶持专项资金，用于开展绿色食品、地理标志、优质农产品金银奖、展示展销奖励等政策扶持。继续实施宁波贷款贴息政策，开展小额担保贷款，探索杨梅气象指数保险等农业政策性保险，切实为我市品牌农产品提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四是强化品牌宣传推广。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进一步完善、细化“慈农优选”品牌规划，强化可操作性指导，统筹谋划品牌推广工作，做好“顶层”设计。挖掘区域公用品牌授权使用产品品类，帮助子品牌挖掘品牌内涵，完善提升包装设计。发展农产品电商，继续开展“慈农优选”的品牌宣传和推广，加强区域公用品牌授权使用主体的品控监测和动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最后，感谢您对农业农村工作的关心和支持！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446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慈溪市农业农村局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650" w:firstLineChars="1500"/>
        <w:jc w:val="both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抄  送：</w:t>
      </w:r>
      <w:r>
        <w:rPr>
          <w:rFonts w:hint="eastAsia" w:ascii="仿宋" w:hAnsi="仿宋" w:eastAsia="仿宋" w:cs="仿宋"/>
          <w:sz w:val="32"/>
          <w:szCs w:val="32"/>
        </w:rPr>
        <w:t>市人大代表工委，市政府办公室，市农合联执委会，市市场监管局，市财政局，龙山镇人大主席团。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-16"/>
          <w:sz w:val="32"/>
          <w:szCs w:val="32"/>
          <w:lang w:eastAsia="zh-CN"/>
        </w:rPr>
        <w:t>邵晶晶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620" w:firstLineChars="200"/>
        <w:textAlignment w:val="auto"/>
      </w:pPr>
      <w:r>
        <w:rPr>
          <w:rFonts w:hint="eastAsia" w:ascii="仿宋" w:hAnsi="仿宋" w:eastAsia="仿宋" w:cs="仿宋"/>
          <w:spacing w:val="-16"/>
          <w:sz w:val="32"/>
          <w:szCs w:val="32"/>
        </w:rPr>
        <w:t>联系电话：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 xml:space="preserve">0574-63989903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79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16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573F2"/>
    <w:rsid w:val="008F56F8"/>
    <w:rsid w:val="08EC15AC"/>
    <w:rsid w:val="12C22222"/>
    <w:rsid w:val="158D6F6A"/>
    <w:rsid w:val="1BEE0CC5"/>
    <w:rsid w:val="288C3296"/>
    <w:rsid w:val="29565D80"/>
    <w:rsid w:val="2E44280D"/>
    <w:rsid w:val="314D3E18"/>
    <w:rsid w:val="3888244C"/>
    <w:rsid w:val="3C6425BC"/>
    <w:rsid w:val="49034248"/>
    <w:rsid w:val="49B37D0F"/>
    <w:rsid w:val="4A9A1CA8"/>
    <w:rsid w:val="4FFBA0D4"/>
    <w:rsid w:val="500E6CB8"/>
    <w:rsid w:val="598A44F6"/>
    <w:rsid w:val="59BB7371"/>
    <w:rsid w:val="66580005"/>
    <w:rsid w:val="67E8260E"/>
    <w:rsid w:val="71B573F2"/>
    <w:rsid w:val="76FF52A3"/>
    <w:rsid w:val="79AE5130"/>
    <w:rsid w:val="7C994AA7"/>
    <w:rsid w:val="7FB32484"/>
    <w:rsid w:val="7FBCABED"/>
    <w:rsid w:val="AEFDEBB5"/>
    <w:rsid w:val="C7FF548B"/>
    <w:rsid w:val="CEBAB3AE"/>
    <w:rsid w:val="D7EC645C"/>
    <w:rsid w:val="DF7F07EA"/>
    <w:rsid w:val="EF9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200"/>
      <w:jc w:val="both"/>
    </w:pPr>
    <w:rPr>
      <w:rFonts w:ascii="Times New Roman" w:hAnsi="Times New Roman" w:eastAsia="楷体_GB2312" w:cs="Times New Roman"/>
      <w:kern w:val="2"/>
      <w:sz w:val="21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2024-04-23T19:23:00Z</dcterms:created>
  <dc:creator>Administrator</dc:creator>
  <cp:lastModifiedBy>Administrator</cp:lastModifiedBy>
  <cp:lastPrinted>2024-06-04T15:56:00Z</cp:lastPrinted>
  <dcterms:modified xsi:type="dcterms:W3CDTF">2024-06-26T02:08:43Z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7ECA737007684E64B845643E0CE5B050</vt:lpwstr>
  </property>
</Properties>
</file>