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06" w:rsidRDefault="005A2D06" w:rsidP="00461E7C">
      <w:pPr>
        <w:spacing w:line="560" w:lineRule="exact"/>
        <w:jc w:val="center"/>
        <w:rPr>
          <w:rFonts w:ascii="方正小标宋简体" w:eastAsia="方正小标宋简体"/>
          <w:sz w:val="36"/>
          <w:szCs w:val="36"/>
        </w:rPr>
      </w:pPr>
    </w:p>
    <w:p w:rsidR="005A2D06" w:rsidRDefault="005A2D06" w:rsidP="00461E7C">
      <w:pPr>
        <w:spacing w:line="560" w:lineRule="exact"/>
        <w:jc w:val="center"/>
        <w:rPr>
          <w:rFonts w:ascii="方正小标宋简体" w:eastAsia="方正小标宋简体"/>
          <w:sz w:val="36"/>
          <w:szCs w:val="36"/>
        </w:rPr>
      </w:pPr>
    </w:p>
    <w:p w:rsidR="00461E7C" w:rsidRDefault="005A2D06" w:rsidP="00461E7C">
      <w:pPr>
        <w:spacing w:line="560" w:lineRule="exact"/>
        <w:jc w:val="center"/>
        <w:rPr>
          <w:rFonts w:ascii="宋体" w:eastAsia="宋体" w:hAnsi="宋体" w:hint="eastAsia"/>
          <w:b/>
          <w:sz w:val="44"/>
          <w:szCs w:val="44"/>
        </w:rPr>
      </w:pPr>
      <w:r w:rsidRPr="00461E7C">
        <w:rPr>
          <w:rFonts w:ascii="宋体" w:eastAsia="宋体" w:hAnsi="宋体" w:hint="eastAsia"/>
          <w:b/>
          <w:sz w:val="44"/>
          <w:szCs w:val="44"/>
        </w:rPr>
        <w:t>关于夯实粮食安全基础</w:t>
      </w:r>
      <w:r w:rsidR="00461E7C">
        <w:rPr>
          <w:rFonts w:ascii="宋体" w:eastAsia="宋体" w:hAnsi="宋体" w:hint="eastAsia"/>
          <w:b/>
          <w:sz w:val="44"/>
          <w:szCs w:val="44"/>
        </w:rPr>
        <w:t xml:space="preserve"> </w:t>
      </w:r>
    </w:p>
    <w:p w:rsidR="00D833F6" w:rsidRPr="005A2D06" w:rsidRDefault="005A2D06" w:rsidP="00461E7C">
      <w:pPr>
        <w:spacing w:line="560" w:lineRule="exact"/>
        <w:jc w:val="center"/>
        <w:rPr>
          <w:rFonts w:asciiTheme="majorEastAsia" w:eastAsiaTheme="majorEastAsia" w:hAnsiTheme="majorEastAsia"/>
          <w:sz w:val="44"/>
          <w:szCs w:val="44"/>
        </w:rPr>
      </w:pPr>
      <w:r w:rsidRPr="00461E7C">
        <w:rPr>
          <w:rFonts w:ascii="宋体" w:eastAsia="宋体" w:hAnsi="宋体" w:hint="eastAsia"/>
          <w:b/>
          <w:sz w:val="44"/>
          <w:szCs w:val="44"/>
        </w:rPr>
        <w:t>确保粮食稳产增收的建议</w:t>
      </w:r>
    </w:p>
    <w:p w:rsidR="005A2D06" w:rsidRDefault="005A2D06" w:rsidP="00461E7C">
      <w:pPr>
        <w:spacing w:line="560" w:lineRule="exact"/>
        <w:rPr>
          <w:rFonts w:ascii="仿宋_GB2312" w:eastAsia="仿宋_GB2312"/>
          <w:sz w:val="30"/>
          <w:szCs w:val="30"/>
        </w:rPr>
      </w:pPr>
    </w:p>
    <w:p w:rsidR="00D833F6" w:rsidRPr="005A2D06" w:rsidRDefault="005A2D06" w:rsidP="00461E7C">
      <w:pPr>
        <w:spacing w:line="560" w:lineRule="exact"/>
        <w:rPr>
          <w:rFonts w:ascii="楷体_GB2312" w:eastAsia="楷体_GB2312"/>
          <w:sz w:val="32"/>
          <w:szCs w:val="32"/>
        </w:rPr>
      </w:pPr>
      <w:r w:rsidRPr="005A2D06">
        <w:rPr>
          <w:rFonts w:ascii="楷体_GB2312" w:eastAsia="楷体_GB2312" w:hint="eastAsia"/>
          <w:sz w:val="32"/>
          <w:szCs w:val="32"/>
        </w:rPr>
        <w:t>领衔代表：</w:t>
      </w:r>
      <w:proofErr w:type="gramStart"/>
      <w:r w:rsidRPr="005A2D06">
        <w:rPr>
          <w:rFonts w:ascii="楷体_GB2312" w:eastAsia="楷体_GB2312" w:hint="eastAsia"/>
          <w:sz w:val="32"/>
          <w:szCs w:val="32"/>
        </w:rPr>
        <w:t>成央珍</w:t>
      </w:r>
      <w:proofErr w:type="gramEnd"/>
    </w:p>
    <w:p w:rsidR="00D833F6" w:rsidRPr="005A2D06" w:rsidRDefault="005A2D06" w:rsidP="00461E7C">
      <w:pPr>
        <w:spacing w:line="560" w:lineRule="exact"/>
        <w:rPr>
          <w:rFonts w:ascii="楷体_GB2312" w:eastAsia="楷体_GB2312"/>
          <w:sz w:val="32"/>
          <w:szCs w:val="32"/>
        </w:rPr>
      </w:pPr>
      <w:r w:rsidRPr="005A2D06">
        <w:rPr>
          <w:rFonts w:ascii="楷体_GB2312" w:eastAsia="楷体_GB2312" w:hint="eastAsia"/>
          <w:sz w:val="32"/>
          <w:szCs w:val="32"/>
        </w:rPr>
        <w:t>附议代表：张松军</w:t>
      </w:r>
    </w:p>
    <w:p w:rsidR="005A2D06" w:rsidRDefault="005A2D06" w:rsidP="00461E7C">
      <w:pPr>
        <w:spacing w:line="560" w:lineRule="exact"/>
        <w:rPr>
          <w:rFonts w:ascii="仿宋_GB2312" w:eastAsia="仿宋_GB2312"/>
          <w:sz w:val="30"/>
          <w:szCs w:val="30"/>
        </w:rPr>
      </w:pPr>
    </w:p>
    <w:p w:rsidR="00D833F6" w:rsidRDefault="005A2D06" w:rsidP="00461E7C">
      <w:pPr>
        <w:spacing w:line="560" w:lineRule="exact"/>
        <w:ind w:firstLine="645"/>
        <w:rPr>
          <w:rFonts w:ascii="仿宋_GB2312" w:eastAsia="仿宋_GB2312"/>
          <w:sz w:val="32"/>
          <w:szCs w:val="32"/>
        </w:rPr>
      </w:pPr>
      <w:r>
        <w:rPr>
          <w:rFonts w:ascii="仿宋_GB2312" w:eastAsia="仿宋_GB2312" w:hint="eastAsia"/>
          <w:sz w:val="32"/>
          <w:szCs w:val="32"/>
        </w:rPr>
        <w:t>近年来，全国各地认真贯彻党的一系列强农惠农政策和习近平总书记关于粮食安全指示精神，实施“藏粮于地、藏粮于技”战略，牢牢</w:t>
      </w:r>
      <w:proofErr w:type="gramStart"/>
      <w:r>
        <w:rPr>
          <w:rFonts w:ascii="仿宋_GB2312" w:eastAsia="仿宋_GB2312" w:hint="eastAsia"/>
          <w:sz w:val="32"/>
          <w:szCs w:val="32"/>
        </w:rPr>
        <w:t>扛稳国家</w:t>
      </w:r>
      <w:proofErr w:type="gramEnd"/>
      <w:r>
        <w:rPr>
          <w:rFonts w:ascii="仿宋_GB2312" w:eastAsia="仿宋_GB2312" w:hint="eastAsia"/>
          <w:sz w:val="32"/>
          <w:szCs w:val="32"/>
        </w:rPr>
        <w:t>粮食安全重任，不断提高农业发展质量和竞争力，有效促进了粮食增产、农民增收、农业增效，将中国人的饭碗牢牢端在自己手上。</w:t>
      </w:r>
    </w:p>
    <w:p w:rsidR="00D833F6" w:rsidRDefault="005A2D06" w:rsidP="00461E7C">
      <w:pPr>
        <w:spacing w:line="560" w:lineRule="exact"/>
        <w:ind w:firstLine="645"/>
        <w:rPr>
          <w:rFonts w:ascii="仿宋_GB2312" w:eastAsia="仿宋_GB2312"/>
          <w:sz w:val="32"/>
          <w:szCs w:val="32"/>
        </w:rPr>
      </w:pPr>
      <w:r>
        <w:rPr>
          <w:rFonts w:ascii="仿宋_GB2312" w:eastAsia="仿宋_GB2312" w:hint="eastAsia"/>
          <w:sz w:val="32"/>
          <w:szCs w:val="32"/>
        </w:rPr>
        <w:t>新浦镇作为曾经慈溪北部的产棉重镇，到如今的“葡萄之乡”，一直以来都不是粮食主产区。自2021年耕地“非粮化”整治工作开展以来，新浦镇注重连片整治，并以此为契机，有序稳步推进土地流转工作，共流转连片土地1500亩，完成水田改造1000余亩，提升水稻等主要粮食作物的生产能力，去年共收割小麦400余亩、水稻1540亩，超额完成种粮任务。今年市里下达的粮食作物种植面积还将进一步加大，如何保障粮食安全，提高粮食综合生产能力，建议如下：</w:t>
      </w:r>
    </w:p>
    <w:p w:rsidR="00D833F6" w:rsidRDefault="005A2D06" w:rsidP="00461E7C">
      <w:pPr>
        <w:spacing w:line="560" w:lineRule="exact"/>
        <w:ind w:firstLine="645"/>
        <w:rPr>
          <w:rFonts w:ascii="仿宋_GB2312" w:eastAsia="仿宋_GB2312"/>
          <w:sz w:val="32"/>
          <w:szCs w:val="32"/>
        </w:rPr>
      </w:pPr>
      <w:r w:rsidRPr="00F84536">
        <w:rPr>
          <w:rFonts w:ascii="楷体_GB2312" w:eastAsia="楷体_GB2312" w:hint="eastAsia"/>
          <w:sz w:val="32"/>
          <w:szCs w:val="32"/>
        </w:rPr>
        <w:t>一是发挥种粮补贴政策的杠杆作用。</w:t>
      </w:r>
      <w:r>
        <w:rPr>
          <w:rFonts w:ascii="仿宋_GB2312" w:eastAsia="仿宋_GB2312" w:hint="eastAsia"/>
          <w:sz w:val="32"/>
          <w:szCs w:val="32"/>
        </w:rPr>
        <w:t>去年以来，上级部门对</w:t>
      </w:r>
      <w:r>
        <w:rPr>
          <w:rFonts w:ascii="仿宋_GB2312" w:eastAsia="仿宋_GB2312" w:hint="eastAsia"/>
          <w:sz w:val="32"/>
          <w:szCs w:val="32"/>
        </w:rPr>
        <w:lastRenderedPageBreak/>
        <w:t>种粮农民的补贴力度逐步加大，涉及到的补贴包括规模种粮补贴、规模种粮动态补贴、种粮农民一次性补贴以及耕地地力保护补贴，部分乡镇还进行了配套。大多数乡镇去年种植早稻及连作晚稻的规模</w:t>
      </w:r>
      <w:proofErr w:type="gramStart"/>
      <w:r>
        <w:rPr>
          <w:rFonts w:ascii="仿宋_GB2312" w:eastAsia="仿宋_GB2312" w:hint="eastAsia"/>
          <w:sz w:val="32"/>
          <w:szCs w:val="32"/>
        </w:rPr>
        <w:t>户最多</w:t>
      </w:r>
      <w:proofErr w:type="gramEnd"/>
      <w:r>
        <w:rPr>
          <w:rFonts w:ascii="仿宋_GB2312" w:eastAsia="仿宋_GB2312" w:hint="eastAsia"/>
          <w:sz w:val="32"/>
          <w:szCs w:val="32"/>
        </w:rPr>
        <w:t>能获得</w:t>
      </w:r>
      <w:bookmarkStart w:id="0" w:name="_GoBack"/>
      <w:bookmarkEnd w:id="0"/>
      <w:r>
        <w:rPr>
          <w:rFonts w:ascii="仿宋_GB2312" w:eastAsia="仿宋_GB2312" w:hint="eastAsia"/>
          <w:sz w:val="32"/>
          <w:szCs w:val="32"/>
        </w:rPr>
        <w:t>1000多每亩的补贴，有效调动了种粮农民积极性，打消了种粮顾虑。但与葡萄等经济作物相比，粮食仍属于低效益的产业。以新浦的特色产业葡萄和丝瓜络为例，近年来的亩产值均在万元以上，而主要粮食的亩产值在3000元左右，两者的利润差距更大，且近年来化肥等生产成本不断上涨，受台风、高温等自然灾害影响较大。建议上级部门能维持甚至提高补贴，将种粮补贴继续向种植小麦、水稻等主要粮食作物的农户倾斜。在政策性农业保险上能更多地照顾种粮农民的利益，推动粮食保险由保生产向保收益转变，促使保险公司加大对种粮农民的赔付力度。</w:t>
      </w:r>
    </w:p>
    <w:p w:rsidR="00D833F6" w:rsidRDefault="005A2D06" w:rsidP="00461E7C">
      <w:pPr>
        <w:spacing w:line="560" w:lineRule="exact"/>
        <w:ind w:firstLine="645"/>
        <w:rPr>
          <w:rFonts w:ascii="仿宋_GB2312" w:eastAsia="仿宋_GB2312"/>
          <w:sz w:val="32"/>
          <w:szCs w:val="32"/>
        </w:rPr>
      </w:pPr>
      <w:r w:rsidRPr="00F84536">
        <w:rPr>
          <w:rFonts w:ascii="楷体_GB2312" w:eastAsia="楷体_GB2312" w:hint="eastAsia"/>
          <w:sz w:val="32"/>
          <w:szCs w:val="32"/>
        </w:rPr>
        <w:t>二是强化基层农技人员储备。</w:t>
      </w:r>
      <w:r>
        <w:rPr>
          <w:rFonts w:ascii="仿宋_GB2312" w:eastAsia="仿宋_GB2312" w:hint="eastAsia"/>
          <w:sz w:val="32"/>
          <w:szCs w:val="32"/>
        </w:rPr>
        <w:t>实施</w:t>
      </w:r>
      <w:proofErr w:type="gramStart"/>
      <w:r>
        <w:rPr>
          <w:rFonts w:ascii="仿宋_GB2312" w:eastAsia="仿宋_GB2312" w:hint="eastAsia"/>
          <w:sz w:val="32"/>
          <w:szCs w:val="32"/>
        </w:rPr>
        <w:t>藏粮于技的</w:t>
      </w:r>
      <w:proofErr w:type="gramEnd"/>
      <w:r>
        <w:rPr>
          <w:rFonts w:ascii="仿宋_GB2312" w:eastAsia="仿宋_GB2312" w:hint="eastAsia"/>
          <w:sz w:val="32"/>
          <w:szCs w:val="32"/>
        </w:rPr>
        <w:t>战略，离不开完善的基层农技服务体系。全市农技队伍在岗从技人员相比早前已大幅减少，而且基本已是“银发一族”，即将面临退休，而培养一名优秀的农技员花费的时间周期较长，新招聘的农技员又缺乏实践经验。当前是否能探索和引进技术服务的“第三方”模式，鼓励经营主体自主或联合聘请技术人员，同时招聘更多专门从事农技的人员，加大培训力度，培养一批全能型的优秀农技员，让技术成为粮食产业高质量发展的核心竞争力。</w:t>
      </w:r>
    </w:p>
    <w:p w:rsidR="00D833F6" w:rsidRDefault="005A2D06" w:rsidP="00461E7C">
      <w:pPr>
        <w:spacing w:line="560" w:lineRule="exact"/>
        <w:ind w:firstLine="645"/>
        <w:rPr>
          <w:rFonts w:ascii="仿宋_GB2312" w:eastAsia="仿宋_GB2312"/>
          <w:sz w:val="32"/>
          <w:szCs w:val="32"/>
        </w:rPr>
      </w:pPr>
      <w:r w:rsidRPr="00F84536">
        <w:rPr>
          <w:rFonts w:ascii="楷体_GB2312" w:eastAsia="楷体_GB2312" w:hint="eastAsia"/>
          <w:sz w:val="32"/>
          <w:szCs w:val="32"/>
        </w:rPr>
        <w:t>三是强化耕地保护的力度措施。</w:t>
      </w:r>
      <w:r>
        <w:rPr>
          <w:rFonts w:ascii="仿宋_GB2312" w:eastAsia="仿宋_GB2312" w:hint="eastAsia"/>
          <w:sz w:val="32"/>
          <w:szCs w:val="32"/>
        </w:rPr>
        <w:t>耕地是保障粮食安全的根本，</w:t>
      </w:r>
      <w:r>
        <w:rPr>
          <w:rFonts w:ascii="仿宋_GB2312" w:eastAsia="仿宋_GB2312" w:hint="eastAsia"/>
          <w:sz w:val="32"/>
          <w:szCs w:val="32"/>
        </w:rPr>
        <w:lastRenderedPageBreak/>
        <w:t>坚持农地农用、</w:t>
      </w:r>
      <w:proofErr w:type="gramStart"/>
      <w:r>
        <w:rPr>
          <w:rFonts w:ascii="仿宋_GB2312" w:eastAsia="仿宋_GB2312" w:hint="eastAsia"/>
          <w:sz w:val="32"/>
          <w:szCs w:val="32"/>
        </w:rPr>
        <w:t>粮地种粮</w:t>
      </w:r>
      <w:proofErr w:type="gramEnd"/>
      <w:r>
        <w:rPr>
          <w:rFonts w:ascii="仿宋_GB2312" w:eastAsia="仿宋_GB2312" w:hint="eastAsia"/>
          <w:sz w:val="32"/>
          <w:szCs w:val="32"/>
        </w:rPr>
        <w:t>，坚决遏制耕地“非农化”、防止“非粮化”，巩固近年来的“两非”整治成果。建议相关部门将高标准农田项目</w:t>
      </w:r>
      <w:proofErr w:type="gramStart"/>
      <w:r>
        <w:rPr>
          <w:rFonts w:ascii="仿宋_GB2312" w:eastAsia="仿宋_GB2312" w:hint="eastAsia"/>
          <w:sz w:val="32"/>
          <w:szCs w:val="32"/>
        </w:rPr>
        <w:t>向具备</w:t>
      </w:r>
      <w:proofErr w:type="gramEnd"/>
      <w:r>
        <w:rPr>
          <w:rFonts w:ascii="仿宋_GB2312" w:eastAsia="仿宋_GB2312" w:hint="eastAsia"/>
          <w:sz w:val="32"/>
          <w:szCs w:val="32"/>
        </w:rPr>
        <w:t>粮食规模生产条件的耕地倾斜，突出建设重点，改善农业生产田间道路，配套完善灌排设施，提高抗灾减灾能力。同时对在“两非”整治地块从事粮食生产的经营主体在设施农用地的审批上进行适度松绑，用于堆放化肥、农机具，建设粮食烘干设施等，方便经营主体从事农业生产，并延伸产业链条，同时对设施农用地的后期使用情况严格落实管控。为防止“两非”整治地块抛荒，建议相关部门在土地流转方面出台政策，调动农户和村级在土地流转上的积极性，发展适度规模经营，提高粮食综合生产能力。</w:t>
      </w:r>
    </w:p>
    <w:p w:rsidR="00D833F6" w:rsidRDefault="00D833F6" w:rsidP="00461E7C">
      <w:pPr>
        <w:spacing w:line="560" w:lineRule="exact"/>
        <w:ind w:firstLine="645"/>
        <w:rPr>
          <w:rFonts w:ascii="仿宋_GB2312" w:eastAsia="仿宋_GB2312"/>
          <w:sz w:val="32"/>
          <w:szCs w:val="32"/>
        </w:rPr>
      </w:pPr>
    </w:p>
    <w:p w:rsidR="00D833F6" w:rsidRDefault="00D833F6" w:rsidP="00461E7C">
      <w:pPr>
        <w:spacing w:line="560" w:lineRule="exact"/>
        <w:rPr>
          <w:rFonts w:ascii="仿宋_GB2312" w:eastAsia="仿宋_GB2312"/>
          <w:sz w:val="32"/>
          <w:szCs w:val="32"/>
        </w:rPr>
      </w:pPr>
    </w:p>
    <w:sectPr w:rsidR="00D833F6" w:rsidSect="005A2D06">
      <w:footerReference w:type="default" r:id="rId6"/>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D06" w:rsidRDefault="005A2D06" w:rsidP="005A2D06">
      <w:r>
        <w:separator/>
      </w:r>
    </w:p>
  </w:endnote>
  <w:endnote w:type="continuationSeparator" w:id="1">
    <w:p w:rsidR="005A2D06" w:rsidRDefault="005A2D06" w:rsidP="005A2D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77376"/>
      <w:docPartObj>
        <w:docPartGallery w:val="Page Numbers (Bottom of Page)"/>
        <w:docPartUnique/>
      </w:docPartObj>
    </w:sdtPr>
    <w:sdtContent>
      <w:p w:rsidR="005A2D06" w:rsidRDefault="00E9186F">
        <w:pPr>
          <w:pStyle w:val="a4"/>
          <w:jc w:val="center"/>
        </w:pPr>
        <w:fldSimple w:instr=" PAGE   \* MERGEFORMAT ">
          <w:r w:rsidR="00F84536" w:rsidRPr="00F84536">
            <w:rPr>
              <w:noProof/>
              <w:lang w:val="zh-CN"/>
            </w:rPr>
            <w:t>1</w:t>
          </w:r>
        </w:fldSimple>
      </w:p>
    </w:sdtContent>
  </w:sdt>
  <w:p w:rsidR="005A2D06" w:rsidRDefault="005A2D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D06" w:rsidRDefault="005A2D06" w:rsidP="005A2D06">
      <w:r>
        <w:separator/>
      </w:r>
    </w:p>
  </w:footnote>
  <w:footnote w:type="continuationSeparator" w:id="1">
    <w:p w:rsidR="005A2D06" w:rsidRDefault="005A2D06" w:rsidP="005A2D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I3ZGE4MmI2MjNiMjVkMjVhNzc4MDQ2NGJlNGNkZTkifQ=="/>
  </w:docVars>
  <w:rsids>
    <w:rsidRoot w:val="00874FBB"/>
    <w:rsid w:val="FAE7CF99"/>
    <w:rsid w:val="000860B8"/>
    <w:rsid w:val="000C7888"/>
    <w:rsid w:val="000F4761"/>
    <w:rsid w:val="00123623"/>
    <w:rsid w:val="00227B91"/>
    <w:rsid w:val="002855E7"/>
    <w:rsid w:val="0029118C"/>
    <w:rsid w:val="00352871"/>
    <w:rsid w:val="00386C2A"/>
    <w:rsid w:val="003C6A03"/>
    <w:rsid w:val="003D46C6"/>
    <w:rsid w:val="003F019F"/>
    <w:rsid w:val="00461E7C"/>
    <w:rsid w:val="00464B1D"/>
    <w:rsid w:val="005A2D06"/>
    <w:rsid w:val="005D25A2"/>
    <w:rsid w:val="00600D79"/>
    <w:rsid w:val="006E7496"/>
    <w:rsid w:val="00874FBB"/>
    <w:rsid w:val="00876CCC"/>
    <w:rsid w:val="00890A27"/>
    <w:rsid w:val="009137B8"/>
    <w:rsid w:val="00957B79"/>
    <w:rsid w:val="00A06C85"/>
    <w:rsid w:val="00A50D2D"/>
    <w:rsid w:val="00B1147F"/>
    <w:rsid w:val="00B64705"/>
    <w:rsid w:val="00BB7F94"/>
    <w:rsid w:val="00D833F6"/>
    <w:rsid w:val="00DA2BE0"/>
    <w:rsid w:val="00E315A0"/>
    <w:rsid w:val="00E6299A"/>
    <w:rsid w:val="00E9186F"/>
    <w:rsid w:val="00E944E3"/>
    <w:rsid w:val="00F84536"/>
    <w:rsid w:val="184008A6"/>
    <w:rsid w:val="584829C0"/>
    <w:rsid w:val="7EBAB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3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2D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2D06"/>
    <w:rPr>
      <w:kern w:val="2"/>
      <w:sz w:val="18"/>
      <w:szCs w:val="18"/>
    </w:rPr>
  </w:style>
  <w:style w:type="paragraph" w:styleId="a4">
    <w:name w:val="footer"/>
    <w:basedOn w:val="a"/>
    <w:link w:val="Char0"/>
    <w:uiPriority w:val="99"/>
    <w:unhideWhenUsed/>
    <w:rsid w:val="005A2D06"/>
    <w:pPr>
      <w:tabs>
        <w:tab w:val="center" w:pos="4153"/>
        <w:tab w:val="right" w:pos="8306"/>
      </w:tabs>
      <w:snapToGrid w:val="0"/>
      <w:jc w:val="left"/>
    </w:pPr>
    <w:rPr>
      <w:sz w:val="18"/>
      <w:szCs w:val="18"/>
    </w:rPr>
  </w:style>
  <w:style w:type="character" w:customStyle="1" w:styleId="Char0">
    <w:name w:val="页脚 Char"/>
    <w:basedOn w:val="a0"/>
    <w:link w:val="a4"/>
    <w:uiPriority w:val="99"/>
    <w:rsid w:val="005A2D0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user</cp:lastModifiedBy>
  <cp:revision>31</cp:revision>
  <dcterms:created xsi:type="dcterms:W3CDTF">2023-01-20T20:34:00Z</dcterms:created>
  <dcterms:modified xsi:type="dcterms:W3CDTF">2023-02-04T03:08:00Z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EA922F7AA4F54CA2B8D8356A1F4DE827</vt:lpwstr>
  </property>
</Properties>
</file>