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A</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35</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392</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杨海勇代表: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您提出的《关于全面激活农村集体经济发展潜能的建议》已收悉，我局及时组织人员进行了认真研究，并提出具体承办意见，经局长办公会议研究同意，现答复如下：</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我市始终把村级集体经济发展作为实施乡村振兴的重要抓手，通过创新举措、强化帮扶及精准施策，近年来村级集体经济整体水平有了较大提升。2023年全市集体经济总收入达到13.72亿元，村均415.76万元，经营性收入达到7.21亿元，村均218.48万元，集体经济总收入100万元以上行政村实现全覆盖，实现了经营性收入50万元以下行政村清零，经营性收入100万元以上行政村达到62.59%，圆满完成了省、宁波下达的各项任务指标。</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（一）关于加强要素保障，完善区域功能布局问题。</w:t>
      </w:r>
      <w:r>
        <w:rPr>
          <w:rFonts w:hint="eastAsia" w:ascii="仿宋" w:hAnsi="仿宋" w:eastAsia="仿宋" w:cs="仿宋"/>
          <w:spacing w:val="-16"/>
          <w:sz w:val="32"/>
          <w:szCs w:val="32"/>
        </w:rPr>
        <w:t>目前，市级、镇级国土空间总体规划正在有序推进，两级规划统筹考虑全市村庄的建设发展并进行分级分类，提出相应的建设引导要求。同时，新一轮实用性村庄规划编制工作也已启动，横河镇可以结合本区域村庄实际，在两级国土空间总体规划的指导下，以一个或几个行政村为单元，编制“多规合一”的实用性村庄规划，在依托资源优势、挖掘特色内涵的基础上，对村庄的用地布局、设施配套、产业发展、景观绿化等进行整体谋划，努力形成“一乡一业、一村一品”的发展格局，以有效指导村庄今后的建设发展。同时，市自然资源规划局也在积极探索农村集体经营性建设用地入市工作，以构建城乡统一的建设用地市场，支持农村经济发展。</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（二）关于深化片区联动，实现资源高效统筹问题。</w:t>
      </w:r>
      <w:r>
        <w:rPr>
          <w:rFonts w:hint="eastAsia" w:ascii="仿宋" w:hAnsi="仿宋" w:eastAsia="仿宋" w:cs="仿宋"/>
          <w:spacing w:val="-16"/>
          <w:sz w:val="32"/>
          <w:szCs w:val="32"/>
        </w:rPr>
        <w:t>一是推进片区组团发展。2024年，持续擦亮党建引领片区组团“金名片”，谋划形成《片区组团共富导则》建设方案，以片区为轴牵引生产、生活、生态协调发展，累计建成片区强村公司50家、片区股份经济合作社10家。积极推进共富工坊“赋能中心”建设，着力推动提升共富工坊标准化生产、品牌化经营、专业化销售程度，打造片区共富工坊100家。二是深化产业振兴。积极培育乡村新产业、新业态，做大做强乡村“土特产”，大力发展“地瓜经济”，鼓励农业优势主导产业走出去，乡村“土特产”产值增幅达3%。如新浦镇西部新型葡萄产业培育片区通过吸纳市农合联、市文旅集团和工贸集团等投资开展发，参与园区开发的五塘南、黎明、荣誉、六塘南等4个片区村通过成立合作社联合社共同投资相关项目设施，预计村均分红增收超30万元。</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（三）关于创新增收模式，促进镇村共富发展问题。</w:t>
      </w:r>
      <w:r>
        <w:rPr>
          <w:rFonts w:hint="eastAsia" w:ascii="仿宋" w:hAnsi="仿宋" w:eastAsia="仿宋" w:cs="仿宋"/>
          <w:spacing w:val="-16"/>
          <w:sz w:val="32"/>
          <w:szCs w:val="32"/>
        </w:rPr>
        <w:t>及时优化调整公用经费补助、支持各地购建发展用房、鼓励村级开展闲置资源盘活、鼓励村级引进高层次人才发展农业产业、加大项目倾斜力度、加大金融支持村级集体经济发展项目力度等六大方面政策，鼓励各地不断创新发展模式。如横河镇彭南村投资150万元对村内湖清垫小学进行更新改造，完成后采用公开招标的租赁方式运营，吸引各类培训班教育类的商家租赁，预计为村级带来16万元以上的经营性收入。目前该项目已通过了市集领办组织的项目论证。又如，如横河镇彭桥村充分利用山林资源禀赋，以公开招投标的方式将840亩山林出租，每年为村级带来100余万元收入。关于您提出的强村公司共富项目，我局将及时同横河镇及市级相关部门对接，尽最大努力做好扶持工作。</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下步，我们将就进一步就强化要素保障、深化片区联动、加大财政扶持力度等问题加强与市自然资源规划局等市级相关部门联系从加强组织领导、强化要素保障等方面进一步予以优化。</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446"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60" w:lineRule="exact"/>
        <w:ind w:firstLine="4650" w:firstLineChars="1500"/>
        <w:jc w:val="both"/>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bookmarkStart w:id="0" w:name="_GoBack"/>
      <w:bookmarkEnd w:id="0"/>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市人大代表工委，市政府办公室，市财政局，市自然资源规划局，市水利局，宁波市生态环境局慈溪分局，横河镇人民政府，横河镇人大主席团。</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胡利强</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 xml:space="preserve">63976716 </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066B3A26"/>
    <w:rsid w:val="12C22222"/>
    <w:rsid w:val="158D6F6A"/>
    <w:rsid w:val="1BEE0CC5"/>
    <w:rsid w:val="288C3296"/>
    <w:rsid w:val="2A6550AF"/>
    <w:rsid w:val="2C570524"/>
    <w:rsid w:val="314D3E18"/>
    <w:rsid w:val="36AD4501"/>
    <w:rsid w:val="3888244C"/>
    <w:rsid w:val="3C6425BC"/>
    <w:rsid w:val="4030033E"/>
    <w:rsid w:val="447A2534"/>
    <w:rsid w:val="49034248"/>
    <w:rsid w:val="49B37D0F"/>
    <w:rsid w:val="4A9A1CA8"/>
    <w:rsid w:val="4FFBA0D4"/>
    <w:rsid w:val="500E6CB8"/>
    <w:rsid w:val="58D14793"/>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李郑颖</cp:lastModifiedBy>
  <cp:lastPrinted>2024-06-04T15:56:00Z</cp:lastPrinted>
  <dcterms:modified xsi:type="dcterms:W3CDTF">2024-06-28T03:13:18Z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