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06" w:rsidRDefault="00FC3906">
      <w:pPr>
        <w:jc w:val="center"/>
        <w:rPr>
          <w:rFonts w:asciiTheme="majorEastAsia" w:eastAsiaTheme="majorEastAsia" w:hAnsiTheme="majorEastAsia" w:cs="方正小标宋简体"/>
          <w:b/>
        </w:rPr>
      </w:pPr>
    </w:p>
    <w:p w:rsidR="00FC3906" w:rsidRDefault="00FC3906">
      <w:pPr>
        <w:jc w:val="center"/>
        <w:rPr>
          <w:rFonts w:asciiTheme="majorEastAsia" w:eastAsiaTheme="majorEastAsia" w:hAnsiTheme="majorEastAsia" w:cs="方正小标宋简体"/>
          <w:b/>
        </w:rPr>
      </w:pPr>
    </w:p>
    <w:p w:rsidR="00FC3906" w:rsidRDefault="0041108F" w:rsidP="006703A8">
      <w:pPr>
        <w:jc w:val="center"/>
        <w:rPr>
          <w:rFonts w:asciiTheme="majorEastAsia" w:eastAsiaTheme="majorEastAsia" w:hAnsiTheme="majorEastAsia" w:cs="方正小标宋简体"/>
          <w:b/>
          <w:sz w:val="44"/>
          <w:szCs w:val="44"/>
        </w:rPr>
      </w:pPr>
      <w:bookmarkStart w:id="0" w:name="_GoBack"/>
      <w:r>
        <w:rPr>
          <w:rFonts w:asciiTheme="majorEastAsia" w:eastAsiaTheme="majorEastAsia" w:hAnsiTheme="majorEastAsia" w:cs="方正小标宋简体" w:hint="eastAsia"/>
          <w:b/>
          <w:sz w:val="44"/>
          <w:szCs w:val="44"/>
        </w:rPr>
        <w:t>关于</w:t>
      </w:r>
      <w:r w:rsidR="006703A8">
        <w:rPr>
          <w:rFonts w:asciiTheme="majorEastAsia" w:eastAsiaTheme="majorEastAsia" w:hAnsiTheme="majorEastAsia" w:cs="方正小标宋简体" w:hint="eastAsia"/>
          <w:b/>
          <w:sz w:val="44"/>
          <w:szCs w:val="44"/>
        </w:rPr>
        <w:t>进一步强化</w:t>
      </w:r>
      <w:r>
        <w:rPr>
          <w:rFonts w:asciiTheme="majorEastAsia" w:eastAsiaTheme="majorEastAsia" w:hAnsiTheme="majorEastAsia" w:cs="方正小标宋简体" w:hint="eastAsia"/>
          <w:b/>
          <w:sz w:val="44"/>
          <w:szCs w:val="44"/>
        </w:rPr>
        <w:t>社区配套用房</w:t>
      </w:r>
      <w:r w:rsidR="006703A8">
        <w:rPr>
          <w:rFonts w:asciiTheme="majorEastAsia" w:eastAsiaTheme="majorEastAsia" w:hAnsiTheme="majorEastAsia" w:cs="方正小标宋简体" w:hint="eastAsia"/>
          <w:b/>
          <w:sz w:val="44"/>
          <w:szCs w:val="44"/>
        </w:rPr>
        <w:t>保障</w:t>
      </w:r>
      <w:r>
        <w:rPr>
          <w:rFonts w:asciiTheme="majorEastAsia" w:eastAsiaTheme="majorEastAsia" w:hAnsiTheme="majorEastAsia" w:cs="方正小标宋简体" w:hint="eastAsia"/>
          <w:b/>
          <w:sz w:val="44"/>
          <w:szCs w:val="44"/>
        </w:rPr>
        <w:t>的建议</w:t>
      </w:r>
    </w:p>
    <w:bookmarkEnd w:id="0"/>
    <w:p w:rsidR="00FC3906" w:rsidRDefault="00FC3906">
      <w:pPr>
        <w:rPr>
          <w:rFonts w:ascii="楷体_GB2312" w:eastAsia="楷体_GB2312" w:hAnsiTheme="majorEastAsia" w:cs="方正小标宋简体"/>
        </w:rPr>
      </w:pPr>
    </w:p>
    <w:p w:rsidR="00FC3906" w:rsidRDefault="0041108F">
      <w:pPr>
        <w:rPr>
          <w:rFonts w:ascii="楷体_GB2312" w:eastAsia="楷体_GB2312" w:hAnsi="仿宋" w:cs="方正小标宋简体" w:hint="eastAsia"/>
        </w:rPr>
      </w:pPr>
      <w:r>
        <w:rPr>
          <w:rFonts w:ascii="楷体_GB2312" w:eastAsia="楷体_GB2312" w:hAnsiTheme="majorEastAsia" w:cs="方正小标宋简体" w:hint="eastAsia"/>
        </w:rPr>
        <w:t>领衔代表：</w:t>
      </w:r>
      <w:r>
        <w:rPr>
          <w:rFonts w:ascii="楷体_GB2312" w:eastAsia="楷体_GB2312" w:hAnsi="仿宋" w:cs="方正小标宋简体" w:hint="eastAsia"/>
        </w:rPr>
        <w:t>石永芳</w:t>
      </w:r>
    </w:p>
    <w:p w:rsidR="006703A8" w:rsidRDefault="006703A8">
      <w:pPr>
        <w:rPr>
          <w:rFonts w:ascii="楷体_GB2312" w:eastAsia="楷体_GB2312" w:hAnsi="仿宋" w:cs="方正小标宋简体"/>
        </w:rPr>
      </w:pPr>
      <w:r>
        <w:rPr>
          <w:rFonts w:ascii="楷体_GB2312" w:eastAsia="楷体_GB2312" w:hAnsi="仿宋" w:cs="方正小标宋简体" w:hint="eastAsia"/>
        </w:rPr>
        <w:t>附议代表:</w:t>
      </w:r>
    </w:p>
    <w:p w:rsidR="00FC3906" w:rsidRDefault="00FC3906">
      <w:pPr>
        <w:rPr>
          <w:rFonts w:ascii="楷体_GB2312" w:eastAsia="楷体_GB2312" w:hAnsi="仿宋" w:cs="方正小标宋简体"/>
        </w:rPr>
      </w:pPr>
    </w:p>
    <w:p w:rsidR="00FC3906" w:rsidRDefault="0041108F" w:rsidP="006703A8">
      <w:pPr>
        <w:spacing w:line="560" w:lineRule="exact"/>
        <w:ind w:firstLineChars="200" w:firstLine="640"/>
        <w:rPr>
          <w:rFonts w:ascii="仿宋_GB2312" w:hAnsi="仿宋"/>
        </w:rPr>
      </w:pPr>
      <w:r>
        <w:rPr>
          <w:rFonts w:ascii="仿宋_GB2312" w:hAnsi="仿宋" w:hint="eastAsia"/>
        </w:rPr>
        <w:t>社区配套用房是社区开展工作所需的办公、服务和活动用房，是为广大社区居民和业主提供服务和开展群众性文化体育活动的公益性用房，是社区服务体系建设的重要窗口，在加强社区建设和提升社区治理能力上发挥着重要作用。</w:t>
      </w:r>
    </w:p>
    <w:p w:rsidR="00FC3906" w:rsidRDefault="0041108F" w:rsidP="006703A8">
      <w:pPr>
        <w:spacing w:line="560" w:lineRule="exact"/>
        <w:ind w:firstLineChars="200" w:firstLine="640"/>
        <w:rPr>
          <w:rFonts w:ascii="黑体" w:eastAsia="黑体" w:hAnsi="黑体" w:cs="黑体"/>
        </w:rPr>
      </w:pPr>
      <w:r>
        <w:rPr>
          <w:rFonts w:ascii="黑体" w:eastAsia="黑体" w:hAnsi="黑体" w:cs="黑体" w:hint="eastAsia"/>
        </w:rPr>
        <w:t>一、中心城区社区配套用房的现状</w:t>
      </w:r>
    </w:p>
    <w:p w:rsidR="00FC3906" w:rsidRDefault="0041108F" w:rsidP="006703A8">
      <w:pPr>
        <w:spacing w:line="560" w:lineRule="exact"/>
        <w:ind w:firstLineChars="200" w:firstLine="640"/>
        <w:rPr>
          <w:rFonts w:ascii="仿宋_GB2312" w:hAnsi="仿宋"/>
        </w:rPr>
      </w:pPr>
      <w:r>
        <w:rPr>
          <w:rFonts w:ascii="仿宋_GB2312" w:hAnsi="仿宋" w:hint="eastAsia"/>
        </w:rPr>
        <w:t>慈溪市委、市政府于</w:t>
      </w:r>
      <w:r>
        <w:rPr>
          <w:rFonts w:ascii="仿宋_GB2312" w:hAnsi="仿宋" w:hint="eastAsia"/>
        </w:rPr>
        <w:t>2013</w:t>
      </w:r>
      <w:r>
        <w:rPr>
          <w:rFonts w:ascii="仿宋_GB2312" w:hAnsi="仿宋" w:hint="eastAsia"/>
        </w:rPr>
        <w:t>年、</w:t>
      </w:r>
      <w:r>
        <w:rPr>
          <w:rFonts w:ascii="仿宋_GB2312" w:hAnsi="仿宋" w:hint="eastAsia"/>
        </w:rPr>
        <w:t>2018</w:t>
      </w:r>
      <w:r>
        <w:rPr>
          <w:rFonts w:ascii="仿宋_GB2312" w:hAnsi="仿宋" w:hint="eastAsia"/>
        </w:rPr>
        <w:t>年先后出台了《关于新形势下加快推进服务型社区建设的意见》（慈党办〔</w:t>
      </w:r>
      <w:r>
        <w:rPr>
          <w:rFonts w:ascii="仿宋_GB2312" w:hAnsi="仿宋" w:hint="eastAsia"/>
        </w:rPr>
        <w:t>2013</w:t>
      </w:r>
      <w:r>
        <w:rPr>
          <w:rFonts w:ascii="仿宋_GB2312" w:hAnsi="仿宋" w:hint="eastAsia"/>
        </w:rPr>
        <w:t>〕</w:t>
      </w:r>
      <w:r>
        <w:rPr>
          <w:rFonts w:ascii="仿宋_GB2312" w:hAnsi="仿宋" w:hint="eastAsia"/>
        </w:rPr>
        <w:t>44</w:t>
      </w:r>
      <w:r>
        <w:rPr>
          <w:rFonts w:ascii="仿宋_GB2312" w:hAnsi="仿宋" w:hint="eastAsia"/>
        </w:rPr>
        <w:t>号）、《关于进一步加强中心城区社区配套用房规划建设管理的通知》（</w:t>
      </w:r>
      <w:proofErr w:type="gramStart"/>
      <w:r>
        <w:rPr>
          <w:rFonts w:ascii="仿宋_GB2312" w:hAnsi="仿宋" w:hint="eastAsia"/>
        </w:rPr>
        <w:t>慈规划</w:t>
      </w:r>
      <w:proofErr w:type="gramEnd"/>
      <w:r>
        <w:rPr>
          <w:rFonts w:ascii="仿宋_GB2312" w:hAnsi="仿宋" w:hint="eastAsia"/>
        </w:rPr>
        <w:t>〔</w:t>
      </w:r>
      <w:r>
        <w:rPr>
          <w:rFonts w:ascii="仿宋_GB2312" w:hAnsi="仿宋" w:hint="eastAsia"/>
        </w:rPr>
        <w:t>2013</w:t>
      </w:r>
      <w:r>
        <w:rPr>
          <w:rFonts w:ascii="仿宋_GB2312" w:hAnsi="仿宋" w:hint="eastAsia"/>
        </w:rPr>
        <w:t>〕</w:t>
      </w:r>
      <w:r>
        <w:rPr>
          <w:rFonts w:ascii="仿宋_GB2312" w:hAnsi="仿宋" w:hint="eastAsia"/>
        </w:rPr>
        <w:t>40</w:t>
      </w:r>
      <w:r>
        <w:rPr>
          <w:rFonts w:ascii="仿宋_GB2312" w:hAnsi="仿宋" w:hint="eastAsia"/>
        </w:rPr>
        <w:t>号）、《关于加强和完善城乡社区治理的实施意见的通知》（慈党办〔</w:t>
      </w:r>
      <w:r>
        <w:rPr>
          <w:rFonts w:ascii="仿宋_GB2312" w:hAnsi="仿宋" w:hint="eastAsia"/>
        </w:rPr>
        <w:t>2018</w:t>
      </w:r>
      <w:r>
        <w:rPr>
          <w:rFonts w:ascii="仿宋_GB2312" w:hAnsi="仿宋" w:hint="eastAsia"/>
        </w:rPr>
        <w:t>〕</w:t>
      </w:r>
      <w:r>
        <w:rPr>
          <w:rFonts w:ascii="仿宋_GB2312" w:hAnsi="仿宋" w:hint="eastAsia"/>
        </w:rPr>
        <w:t>98</w:t>
      </w:r>
      <w:r>
        <w:rPr>
          <w:rFonts w:ascii="仿宋_GB2312" w:hAnsi="仿宋" w:hint="eastAsia"/>
        </w:rPr>
        <w:t>号文件）等文件。文件中多次指出加强社区配套用房管理，并明确了配建原则、配建标准及落实政策时间节点。</w:t>
      </w:r>
    </w:p>
    <w:p w:rsidR="00FC3906" w:rsidRDefault="0041108F" w:rsidP="006703A8">
      <w:pPr>
        <w:spacing w:line="560" w:lineRule="exact"/>
        <w:ind w:firstLineChars="200" w:firstLine="640"/>
        <w:rPr>
          <w:rFonts w:ascii="仿宋_GB2312" w:hAnsi="仿宋"/>
        </w:rPr>
      </w:pPr>
      <w:r>
        <w:rPr>
          <w:rFonts w:ascii="仿宋_GB2312" w:hAnsi="仿宋" w:hint="eastAsia"/>
        </w:rPr>
        <w:t>多年来在市委、市政府，各部门、街道支持和努力下，通过购置、新建、租用等方式解决了大部分老旧小区的社区配套用房困难；通过强化对新建、安</w:t>
      </w:r>
      <w:r>
        <w:rPr>
          <w:rFonts w:ascii="仿宋_GB2312" w:hAnsi="仿宋" w:hint="eastAsia"/>
        </w:rPr>
        <w:t>置小区社区配套用房建设标准及验收等方式，解决了所有新建安置小区社区配套用房，中心城区社区</w:t>
      </w:r>
      <w:r>
        <w:rPr>
          <w:rFonts w:ascii="仿宋_GB2312" w:hAnsi="仿宋" w:hint="eastAsia"/>
        </w:rPr>
        <w:lastRenderedPageBreak/>
        <w:t>配套用房无论是面积和数量上有了很大的提高，促进了社区服务建设，提高了社区治理能力。</w:t>
      </w:r>
    </w:p>
    <w:p w:rsidR="00FC3906" w:rsidRDefault="0041108F" w:rsidP="006703A8">
      <w:pPr>
        <w:spacing w:line="560" w:lineRule="exact"/>
        <w:ind w:firstLineChars="200" w:firstLine="640"/>
        <w:rPr>
          <w:rFonts w:ascii="仿宋_GB2312" w:hAnsi="仿宋"/>
        </w:rPr>
      </w:pPr>
      <w:r>
        <w:rPr>
          <w:rFonts w:ascii="黑体" w:eastAsia="黑体" w:hAnsi="黑体" w:cs="黑体" w:hint="eastAsia"/>
        </w:rPr>
        <w:t>二、中心城区社区配套用房存在的问题</w:t>
      </w:r>
    </w:p>
    <w:p w:rsidR="00FC3906" w:rsidRDefault="0041108F" w:rsidP="006703A8">
      <w:pPr>
        <w:spacing w:line="560" w:lineRule="exact"/>
        <w:ind w:firstLineChars="200" w:firstLine="640"/>
        <w:rPr>
          <w:rFonts w:ascii="仿宋_GB2312" w:hAnsi="仿宋"/>
        </w:rPr>
      </w:pPr>
      <w:r>
        <w:rPr>
          <w:rFonts w:ascii="仿宋_GB2312" w:hAnsi="仿宋" w:hint="eastAsia"/>
        </w:rPr>
        <w:t>中心城区社区配套用房在数量和面积大幅增加的同时，对照有关文件要求，仍然存在以下几方面不足：</w:t>
      </w:r>
    </w:p>
    <w:p w:rsidR="00FC3906" w:rsidRDefault="0041108F" w:rsidP="006703A8">
      <w:pPr>
        <w:spacing w:line="560" w:lineRule="exact"/>
        <w:ind w:firstLineChars="200" w:firstLine="640"/>
        <w:rPr>
          <w:rFonts w:ascii="仿宋_GB2312" w:hAnsi="仿宋"/>
        </w:rPr>
      </w:pPr>
      <w:r>
        <w:rPr>
          <w:rFonts w:ascii="仿宋_GB2312" w:hAnsi="仿宋" w:hint="eastAsia"/>
        </w:rPr>
        <w:t>（</w:t>
      </w:r>
      <w:r>
        <w:rPr>
          <w:rFonts w:ascii="仿宋_GB2312" w:hAnsi="仿宋" w:hint="eastAsia"/>
        </w:rPr>
        <w:t>一</w:t>
      </w:r>
      <w:r>
        <w:rPr>
          <w:rFonts w:ascii="仿宋_GB2312" w:hAnsi="仿宋" w:hint="eastAsia"/>
        </w:rPr>
        <w:t>）</w:t>
      </w:r>
      <w:r>
        <w:rPr>
          <w:rFonts w:ascii="仿宋_GB2312" w:hAnsi="仿宋" w:hint="eastAsia"/>
        </w:rPr>
        <w:t>以老旧小区为主的纯社区，仍有个别社区配套用房不足每百户</w:t>
      </w:r>
      <w:r>
        <w:rPr>
          <w:rFonts w:ascii="仿宋_GB2312" w:hAnsi="仿宋" w:hint="eastAsia"/>
        </w:rPr>
        <w:t>40</w:t>
      </w:r>
      <w:r>
        <w:rPr>
          <w:rFonts w:ascii="仿宋_GB2312" w:hAnsi="仿宋" w:hint="eastAsia"/>
        </w:rPr>
        <w:t>平方米，如古塘街道青少年</w:t>
      </w:r>
      <w:proofErr w:type="gramStart"/>
      <w:r>
        <w:rPr>
          <w:rFonts w:ascii="仿宋_GB2312" w:hAnsi="仿宋" w:hint="eastAsia"/>
        </w:rPr>
        <w:t>宫路社区</w:t>
      </w:r>
      <w:proofErr w:type="gramEnd"/>
      <w:r>
        <w:rPr>
          <w:rFonts w:ascii="仿宋_GB2312" w:hAnsi="仿宋" w:hint="eastAsia"/>
        </w:rPr>
        <w:t>。</w:t>
      </w:r>
    </w:p>
    <w:p w:rsidR="00FC3906" w:rsidRDefault="0041108F" w:rsidP="006703A8">
      <w:pPr>
        <w:spacing w:line="560" w:lineRule="exact"/>
        <w:ind w:firstLineChars="200" w:firstLine="640"/>
        <w:rPr>
          <w:rFonts w:ascii="仿宋_GB2312" w:hAnsi="仿宋"/>
        </w:rPr>
      </w:pPr>
      <w:r>
        <w:rPr>
          <w:rFonts w:ascii="仿宋_GB2312" w:hAnsi="仿宋" w:hint="eastAsia"/>
        </w:rPr>
        <w:t>（</w:t>
      </w:r>
      <w:r>
        <w:rPr>
          <w:rFonts w:ascii="仿宋_GB2312" w:hAnsi="仿宋" w:hint="eastAsia"/>
        </w:rPr>
        <w:t>二</w:t>
      </w:r>
      <w:r>
        <w:rPr>
          <w:rFonts w:ascii="仿宋_GB2312" w:hAnsi="仿宋" w:hint="eastAsia"/>
        </w:rPr>
        <w:t>）</w:t>
      </w:r>
      <w:r>
        <w:rPr>
          <w:rFonts w:ascii="仿宋_GB2312" w:hAnsi="仿宋" w:hint="eastAsia"/>
        </w:rPr>
        <w:t>新建小区为主的社区配套用房过于分散，以古塘街道科技路社区为例，该社区虽有</w:t>
      </w:r>
      <w:r>
        <w:rPr>
          <w:rFonts w:ascii="仿宋_GB2312" w:hAnsi="仿宋" w:hint="eastAsia"/>
        </w:rPr>
        <w:t>2824.87</w:t>
      </w:r>
      <w:r>
        <w:rPr>
          <w:rFonts w:ascii="仿宋_GB2312" w:hAnsi="仿宋" w:hint="eastAsia"/>
        </w:rPr>
        <w:t>平方社区配套用房，但</w:t>
      </w:r>
      <w:r>
        <w:rPr>
          <w:rFonts w:ascii="仿宋_GB2312" w:hAnsi="仿宋" w:hint="eastAsia"/>
        </w:rPr>
        <w:t>分散在</w:t>
      </w:r>
      <w:r>
        <w:rPr>
          <w:rFonts w:ascii="仿宋_GB2312" w:hAnsi="仿宋" w:hint="eastAsia"/>
        </w:rPr>
        <w:t>7</w:t>
      </w:r>
      <w:r>
        <w:rPr>
          <w:rFonts w:ascii="仿宋_GB2312" w:hAnsi="仿宋" w:hint="eastAsia"/>
        </w:rPr>
        <w:t>个小区</w:t>
      </w:r>
      <w:r>
        <w:rPr>
          <w:rFonts w:ascii="仿宋_GB2312" w:hAnsi="仿宋" w:hint="eastAsia"/>
        </w:rPr>
        <w:t>10</w:t>
      </w:r>
      <w:r>
        <w:rPr>
          <w:rFonts w:ascii="仿宋_GB2312" w:hAnsi="仿宋" w:hint="eastAsia"/>
        </w:rPr>
        <w:t>栋楼</w:t>
      </w:r>
      <w:r>
        <w:rPr>
          <w:rFonts w:ascii="仿宋_GB2312" w:hAnsi="仿宋" w:hint="eastAsia"/>
        </w:rPr>
        <w:t>17</w:t>
      </w:r>
      <w:r>
        <w:rPr>
          <w:rFonts w:ascii="仿宋_GB2312" w:hAnsi="仿宋" w:hint="eastAsia"/>
        </w:rPr>
        <w:t>处建筑内（最小的面积为</w:t>
      </w:r>
      <w:r>
        <w:rPr>
          <w:rFonts w:ascii="仿宋_GB2312" w:hAnsi="仿宋" w:hint="eastAsia"/>
        </w:rPr>
        <w:t>30.78</w:t>
      </w:r>
      <w:r>
        <w:rPr>
          <w:rFonts w:ascii="仿宋_GB2312" w:hAnsi="仿宋" w:hint="eastAsia"/>
        </w:rPr>
        <w:t>平方米，最大的面积为</w:t>
      </w:r>
      <w:r>
        <w:rPr>
          <w:rFonts w:ascii="仿宋_GB2312" w:hAnsi="仿宋" w:hint="eastAsia"/>
        </w:rPr>
        <w:t>445</w:t>
      </w:r>
      <w:r>
        <w:rPr>
          <w:rFonts w:ascii="仿宋_GB2312" w:hAnsi="仿宋" w:hint="eastAsia"/>
        </w:rPr>
        <w:t>平方米）</w:t>
      </w:r>
      <w:r>
        <w:rPr>
          <w:rFonts w:ascii="仿宋_GB2312" w:hAnsi="仿宋" w:hint="eastAsia"/>
        </w:rPr>
        <w:t>。</w:t>
      </w:r>
    </w:p>
    <w:p w:rsidR="00FC3906" w:rsidRDefault="0041108F" w:rsidP="006703A8">
      <w:pPr>
        <w:spacing w:line="560" w:lineRule="exact"/>
        <w:ind w:firstLineChars="200" w:firstLine="640"/>
        <w:rPr>
          <w:rFonts w:ascii="仿宋_GB2312" w:hAnsi="仿宋"/>
        </w:rPr>
      </w:pPr>
      <w:r>
        <w:rPr>
          <w:rFonts w:ascii="仿宋_GB2312" w:hAnsi="仿宋" w:hint="eastAsia"/>
        </w:rPr>
        <w:t>（</w:t>
      </w:r>
      <w:r>
        <w:rPr>
          <w:rFonts w:ascii="仿宋_GB2312" w:hAnsi="仿宋" w:hint="eastAsia"/>
        </w:rPr>
        <w:t>三</w:t>
      </w:r>
      <w:r>
        <w:rPr>
          <w:rFonts w:ascii="仿宋_GB2312" w:hAnsi="仿宋" w:hint="eastAsia"/>
        </w:rPr>
        <w:t>）</w:t>
      </w:r>
      <w:r>
        <w:rPr>
          <w:rFonts w:ascii="仿宋_GB2312" w:hAnsi="仿宋" w:hint="eastAsia"/>
        </w:rPr>
        <w:t>大部分纯社区缺少位于社区中心区域、有独立出入口、单体面积原则上不少于</w:t>
      </w:r>
      <w:r>
        <w:rPr>
          <w:rFonts w:ascii="仿宋_GB2312" w:hAnsi="仿宋" w:hint="eastAsia"/>
        </w:rPr>
        <w:t>600</w:t>
      </w:r>
      <w:r>
        <w:rPr>
          <w:rFonts w:ascii="仿宋_GB2312" w:hAnsi="仿宋" w:hint="eastAsia"/>
        </w:rPr>
        <w:t>平方米的社区配套用房</w:t>
      </w:r>
      <w:r>
        <w:rPr>
          <w:rFonts w:ascii="仿宋_GB2312" w:hAnsi="仿宋" w:hint="eastAsia"/>
        </w:rPr>
        <w:t>。</w:t>
      </w:r>
    </w:p>
    <w:p w:rsidR="00FC3906" w:rsidRDefault="0041108F" w:rsidP="006703A8">
      <w:pPr>
        <w:spacing w:line="560" w:lineRule="exact"/>
        <w:ind w:firstLineChars="200" w:firstLine="640"/>
        <w:rPr>
          <w:rFonts w:ascii="仿宋_GB2312" w:hAnsi="仿宋"/>
        </w:rPr>
      </w:pPr>
      <w:r>
        <w:rPr>
          <w:rFonts w:ascii="仿宋_GB2312" w:hAnsi="仿宋" w:hint="eastAsia"/>
        </w:rPr>
        <w:t>（</w:t>
      </w:r>
      <w:r>
        <w:rPr>
          <w:rFonts w:ascii="仿宋_GB2312" w:hAnsi="仿宋" w:hint="eastAsia"/>
        </w:rPr>
        <w:t>四</w:t>
      </w:r>
      <w:r>
        <w:rPr>
          <w:rFonts w:ascii="仿宋_GB2312" w:hAnsi="仿宋" w:hint="eastAsia"/>
        </w:rPr>
        <w:t>）</w:t>
      </w:r>
      <w:r>
        <w:rPr>
          <w:rFonts w:ascii="仿宋_GB2312" w:hAnsi="仿宋" w:hint="eastAsia"/>
        </w:rPr>
        <w:t>部分社区配套用房因位置、面积、楼层等因素不利开展社区服务</w:t>
      </w:r>
    </w:p>
    <w:p w:rsidR="00FC3906" w:rsidRDefault="0041108F" w:rsidP="006703A8">
      <w:pPr>
        <w:spacing w:line="560" w:lineRule="exact"/>
        <w:ind w:firstLineChars="200" w:firstLine="640"/>
        <w:rPr>
          <w:rFonts w:ascii="仿宋_GB2312" w:hAnsi="仿宋"/>
        </w:rPr>
      </w:pPr>
      <w:r>
        <w:rPr>
          <w:rFonts w:ascii="仿宋_GB2312" w:hAnsi="仿宋" w:hint="eastAsia"/>
        </w:rPr>
        <w:t>（</w:t>
      </w:r>
      <w:r>
        <w:rPr>
          <w:rFonts w:ascii="仿宋_GB2312" w:hAnsi="仿宋" w:hint="eastAsia"/>
        </w:rPr>
        <w:t>五</w:t>
      </w:r>
      <w:r>
        <w:rPr>
          <w:rFonts w:ascii="仿宋_GB2312" w:hAnsi="仿宋" w:hint="eastAsia"/>
        </w:rPr>
        <w:t>）</w:t>
      </w:r>
      <w:r>
        <w:rPr>
          <w:rFonts w:ascii="仿宋_GB2312" w:hAnsi="仿宋" w:hint="eastAsia"/>
        </w:rPr>
        <w:t>新建小区较多的社区已建有标准化社区服务中心的前提下，有多处社区配套用房闲置。</w:t>
      </w:r>
    </w:p>
    <w:p w:rsidR="00FC3906" w:rsidRDefault="0041108F" w:rsidP="006703A8">
      <w:pPr>
        <w:spacing w:line="560" w:lineRule="exact"/>
        <w:ind w:firstLineChars="200" w:firstLine="640"/>
        <w:rPr>
          <w:rFonts w:ascii="黑体" w:eastAsia="黑体" w:hAnsi="黑体" w:cs="黑体"/>
        </w:rPr>
      </w:pPr>
      <w:r>
        <w:rPr>
          <w:rFonts w:ascii="黑体" w:eastAsia="黑体" w:hAnsi="黑体" w:cs="黑体" w:hint="eastAsia"/>
        </w:rPr>
        <w:t>三、中心城区社区配套用房存在问题的原因</w:t>
      </w:r>
    </w:p>
    <w:p w:rsidR="00FC3906" w:rsidRDefault="0041108F" w:rsidP="006703A8">
      <w:pPr>
        <w:spacing w:line="560" w:lineRule="exact"/>
        <w:ind w:firstLineChars="200" w:firstLine="640"/>
        <w:rPr>
          <w:rFonts w:ascii="仿宋_GB2312" w:hAnsi="仿宋"/>
        </w:rPr>
      </w:pPr>
      <w:r>
        <w:rPr>
          <w:rFonts w:ascii="仿宋_GB2312" w:hAnsi="仿宋" w:hint="eastAsia"/>
        </w:rPr>
        <w:t>（</w:t>
      </w:r>
      <w:r>
        <w:rPr>
          <w:rFonts w:ascii="仿宋_GB2312" w:hAnsi="仿宋" w:hint="eastAsia"/>
        </w:rPr>
        <w:t>一</w:t>
      </w:r>
      <w:r>
        <w:rPr>
          <w:rFonts w:ascii="仿宋_GB2312" w:hAnsi="仿宋" w:hint="eastAsia"/>
        </w:rPr>
        <w:t>）</w:t>
      </w:r>
      <w:r>
        <w:rPr>
          <w:rFonts w:ascii="仿宋_GB2312" w:hAnsi="仿宋" w:hint="eastAsia"/>
        </w:rPr>
        <w:t>老旧小区建设年代较早，且大多位于中心城区，建设时没有社区配套用房，缺少闲置土地、建筑，无法通过购置、新建、租用等方式达到每百户</w:t>
      </w:r>
      <w:r>
        <w:rPr>
          <w:rFonts w:ascii="仿宋_GB2312" w:hAnsi="仿宋" w:hint="eastAsia"/>
        </w:rPr>
        <w:t>40</w:t>
      </w:r>
      <w:r>
        <w:rPr>
          <w:rFonts w:ascii="仿宋_GB2312" w:hAnsi="仿宋" w:hint="eastAsia"/>
        </w:rPr>
        <w:t>平方米的标准</w:t>
      </w:r>
      <w:r>
        <w:rPr>
          <w:rFonts w:ascii="仿宋_GB2312" w:hAnsi="仿宋" w:hint="eastAsia"/>
        </w:rPr>
        <w:t>。</w:t>
      </w:r>
    </w:p>
    <w:p w:rsidR="00FC3906" w:rsidRDefault="0041108F" w:rsidP="006703A8">
      <w:pPr>
        <w:spacing w:line="560" w:lineRule="exact"/>
        <w:ind w:firstLineChars="200" w:firstLine="640"/>
        <w:rPr>
          <w:rFonts w:ascii="仿宋_GB2312" w:hAnsi="仿宋"/>
        </w:rPr>
      </w:pPr>
      <w:r>
        <w:rPr>
          <w:rFonts w:ascii="仿宋_GB2312" w:hAnsi="仿宋" w:hint="eastAsia"/>
        </w:rPr>
        <w:t>（</w:t>
      </w:r>
      <w:r>
        <w:rPr>
          <w:rFonts w:ascii="仿宋_GB2312" w:hAnsi="仿宋" w:hint="eastAsia"/>
        </w:rPr>
        <w:t>二</w:t>
      </w:r>
      <w:r>
        <w:rPr>
          <w:rFonts w:ascii="仿宋_GB2312" w:hAnsi="仿宋" w:hint="eastAsia"/>
        </w:rPr>
        <w:t>）</w:t>
      </w:r>
      <w:r>
        <w:rPr>
          <w:rFonts w:ascii="仿宋_GB2312" w:hAnsi="仿宋" w:hint="eastAsia"/>
        </w:rPr>
        <w:t>新建小区社区配套用房与住宅项目挂钩，因住宅项目</w:t>
      </w:r>
      <w:r>
        <w:rPr>
          <w:rFonts w:ascii="仿宋_GB2312" w:hAnsi="仿宋" w:hint="eastAsia"/>
        </w:rPr>
        <w:lastRenderedPageBreak/>
        <w:t>开发建设有先后，且由不同的开发商开发，无法统一协商交付</w:t>
      </w:r>
      <w:r>
        <w:rPr>
          <w:rFonts w:ascii="仿宋_GB2312" w:hAnsi="仿宋" w:hint="eastAsia"/>
        </w:rPr>
        <w:t>,</w:t>
      </w:r>
      <w:r>
        <w:rPr>
          <w:rFonts w:ascii="仿宋_GB2312" w:hAnsi="仿宋" w:hint="eastAsia"/>
        </w:rPr>
        <w:t>造成社区配套用房分布零散</w:t>
      </w:r>
      <w:r>
        <w:rPr>
          <w:rFonts w:ascii="仿宋_GB2312" w:hAnsi="仿宋" w:hint="eastAsia"/>
        </w:rPr>
        <w:t>。</w:t>
      </w:r>
    </w:p>
    <w:p w:rsidR="00FC3906" w:rsidRDefault="0041108F" w:rsidP="006703A8">
      <w:pPr>
        <w:spacing w:line="560" w:lineRule="exact"/>
        <w:ind w:firstLineChars="200" w:firstLine="640"/>
        <w:rPr>
          <w:rFonts w:ascii="仿宋_GB2312" w:hAnsi="仿宋"/>
        </w:rPr>
      </w:pPr>
      <w:r>
        <w:rPr>
          <w:rFonts w:ascii="仿宋_GB2312" w:hAnsi="仿宋" w:hint="eastAsia"/>
        </w:rPr>
        <w:t>（</w:t>
      </w:r>
      <w:r>
        <w:rPr>
          <w:rFonts w:ascii="仿宋_GB2312" w:hAnsi="仿宋" w:hint="eastAsia"/>
        </w:rPr>
        <w:t>三</w:t>
      </w:r>
      <w:r>
        <w:rPr>
          <w:rFonts w:ascii="仿宋_GB2312" w:hAnsi="仿宋" w:hint="eastAsia"/>
        </w:rPr>
        <w:t>）</w:t>
      </w:r>
      <w:r>
        <w:rPr>
          <w:rFonts w:ascii="仿宋_GB2312" w:hAnsi="仿宋" w:hint="eastAsia"/>
        </w:rPr>
        <w:t>中心城区土地的稀缺性，及缺少统一和前瞻性使得大多数社区未能在社区中心区域、有独立出入口、单体面积原则上不少于</w:t>
      </w:r>
      <w:r>
        <w:rPr>
          <w:rFonts w:ascii="仿宋_GB2312" w:hAnsi="仿宋" w:hint="eastAsia"/>
        </w:rPr>
        <w:t>600</w:t>
      </w:r>
      <w:r>
        <w:rPr>
          <w:rFonts w:ascii="仿宋_GB2312" w:hAnsi="仿宋" w:hint="eastAsia"/>
        </w:rPr>
        <w:t>平方米社区配套用房</w:t>
      </w:r>
      <w:r>
        <w:rPr>
          <w:rFonts w:ascii="仿宋_GB2312" w:hAnsi="仿宋" w:hint="eastAsia"/>
        </w:rPr>
        <w:t>。</w:t>
      </w:r>
    </w:p>
    <w:p w:rsidR="00FC3906" w:rsidRDefault="0041108F" w:rsidP="006703A8">
      <w:pPr>
        <w:spacing w:line="560" w:lineRule="exact"/>
        <w:ind w:firstLineChars="200" w:firstLine="640"/>
        <w:rPr>
          <w:rFonts w:ascii="仿宋_GB2312" w:hAnsi="仿宋"/>
        </w:rPr>
      </w:pPr>
      <w:r>
        <w:rPr>
          <w:rFonts w:ascii="仿宋_GB2312" w:hAnsi="仿宋" w:hint="eastAsia"/>
        </w:rPr>
        <w:t>（</w:t>
      </w:r>
      <w:r>
        <w:rPr>
          <w:rFonts w:ascii="仿宋_GB2312" w:hAnsi="仿宋" w:hint="eastAsia"/>
        </w:rPr>
        <w:t>四</w:t>
      </w:r>
      <w:r>
        <w:rPr>
          <w:rFonts w:ascii="仿宋_GB2312" w:hAnsi="仿宋" w:hint="eastAsia"/>
        </w:rPr>
        <w:t>）</w:t>
      </w:r>
      <w:r>
        <w:rPr>
          <w:rFonts w:ascii="仿宋_GB2312" w:hAnsi="仿宋" w:hint="eastAsia"/>
        </w:rPr>
        <w:t>个别开发商出于利益，在交付时未能严格遵守相关文件，造成交付的社区配套用房位置、楼层</w:t>
      </w:r>
      <w:r>
        <w:rPr>
          <w:rFonts w:ascii="仿宋_GB2312" w:hAnsi="仿宋" w:hint="eastAsia"/>
        </w:rPr>
        <w:t>不佳</w:t>
      </w:r>
      <w:r>
        <w:rPr>
          <w:rFonts w:ascii="仿宋_GB2312" w:hAnsi="仿宋" w:hint="eastAsia"/>
        </w:rPr>
        <w:t>。</w:t>
      </w:r>
    </w:p>
    <w:p w:rsidR="00FC3906" w:rsidRDefault="0041108F" w:rsidP="006703A8">
      <w:pPr>
        <w:spacing w:line="560" w:lineRule="exact"/>
        <w:ind w:firstLineChars="200" w:firstLine="640"/>
        <w:rPr>
          <w:rFonts w:ascii="仿宋_GB2312" w:hAnsi="仿宋"/>
        </w:rPr>
      </w:pPr>
      <w:r>
        <w:rPr>
          <w:rFonts w:ascii="仿宋_GB2312" w:hAnsi="仿宋" w:hint="eastAsia"/>
        </w:rPr>
        <w:t>（</w:t>
      </w:r>
      <w:r>
        <w:rPr>
          <w:rFonts w:ascii="仿宋_GB2312" w:hAnsi="仿宋" w:hint="eastAsia"/>
        </w:rPr>
        <w:t>五</w:t>
      </w:r>
      <w:r>
        <w:rPr>
          <w:rFonts w:ascii="仿宋_GB2312" w:hAnsi="仿宋" w:hint="eastAsia"/>
        </w:rPr>
        <w:t>）</w:t>
      </w:r>
      <w:r>
        <w:rPr>
          <w:rFonts w:ascii="仿宋_GB2312" w:hAnsi="仿宋" w:hint="eastAsia"/>
        </w:rPr>
        <w:t>现有政策规定，社区配套用房不能出租，造成大量社区用房闲置。</w:t>
      </w:r>
    </w:p>
    <w:p w:rsidR="00FC3906" w:rsidRDefault="0041108F" w:rsidP="006703A8">
      <w:pPr>
        <w:spacing w:line="560" w:lineRule="exact"/>
        <w:ind w:firstLineChars="200" w:firstLine="640"/>
        <w:rPr>
          <w:rFonts w:ascii="黑体" w:eastAsia="黑体" w:hAnsi="黑体" w:cs="黑体"/>
        </w:rPr>
      </w:pPr>
      <w:r>
        <w:rPr>
          <w:rFonts w:ascii="黑体" w:eastAsia="黑体" w:hAnsi="黑体" w:cs="黑体" w:hint="eastAsia"/>
        </w:rPr>
        <w:t>四、建议</w:t>
      </w:r>
    </w:p>
    <w:p w:rsidR="00FC3906" w:rsidRDefault="0041108F" w:rsidP="006703A8">
      <w:pPr>
        <w:spacing w:line="560" w:lineRule="exact"/>
        <w:ind w:firstLineChars="200" w:firstLine="640"/>
        <w:rPr>
          <w:rFonts w:ascii="仿宋_GB2312" w:hAnsi="仿宋"/>
        </w:rPr>
      </w:pPr>
      <w:r>
        <w:rPr>
          <w:rFonts w:ascii="仿宋_GB2312" w:hAnsi="仿宋" w:hint="eastAsia"/>
        </w:rPr>
        <w:t>（</w:t>
      </w:r>
      <w:r>
        <w:rPr>
          <w:rFonts w:ascii="仿宋_GB2312" w:hAnsi="仿宋" w:hint="eastAsia"/>
        </w:rPr>
        <w:t>一</w:t>
      </w:r>
      <w:r>
        <w:rPr>
          <w:rFonts w:ascii="仿宋_GB2312" w:hAnsi="仿宋" w:hint="eastAsia"/>
        </w:rPr>
        <w:t>）</w:t>
      </w:r>
      <w:r>
        <w:rPr>
          <w:rFonts w:ascii="仿宋_GB2312" w:hAnsi="仿宋" w:hint="eastAsia"/>
        </w:rPr>
        <w:t>对现有社区配套用房不足每百户</w:t>
      </w:r>
      <w:r>
        <w:rPr>
          <w:rFonts w:ascii="仿宋_GB2312" w:hAnsi="仿宋" w:hint="eastAsia"/>
        </w:rPr>
        <w:t>40</w:t>
      </w:r>
      <w:r>
        <w:rPr>
          <w:rFonts w:ascii="仿宋_GB2312" w:hAnsi="仿宋" w:hint="eastAsia"/>
        </w:rPr>
        <w:t>平方米的，继续由市、街道通过新建、购买、调剂、租用等方式予以解决，产生费用由市、街道各半负担。</w:t>
      </w:r>
    </w:p>
    <w:p w:rsidR="00FC3906" w:rsidRDefault="0041108F" w:rsidP="006703A8">
      <w:pPr>
        <w:spacing w:line="560" w:lineRule="exact"/>
        <w:ind w:firstLineChars="200" w:firstLine="640"/>
        <w:rPr>
          <w:rFonts w:ascii="仿宋_GB2312" w:hAnsi="仿宋"/>
        </w:rPr>
      </w:pPr>
      <w:r>
        <w:rPr>
          <w:rFonts w:ascii="仿宋_GB2312" w:hAnsi="仿宋" w:hint="eastAsia"/>
        </w:rPr>
        <w:t>（</w:t>
      </w:r>
      <w:r>
        <w:rPr>
          <w:rFonts w:ascii="仿宋_GB2312" w:hAnsi="仿宋" w:hint="eastAsia"/>
        </w:rPr>
        <w:t>二</w:t>
      </w:r>
      <w:r>
        <w:rPr>
          <w:rFonts w:ascii="仿宋_GB2312" w:hAnsi="仿宋" w:hint="eastAsia"/>
        </w:rPr>
        <w:t>）</w:t>
      </w:r>
      <w:r>
        <w:rPr>
          <w:rFonts w:ascii="仿宋_GB2312" w:hAnsi="仿宋" w:hint="eastAsia"/>
        </w:rPr>
        <w:t>新建住宅项目社区配套用房零星分散建议如下：</w:t>
      </w:r>
    </w:p>
    <w:p w:rsidR="00FC3906" w:rsidRDefault="0041108F" w:rsidP="006703A8">
      <w:pPr>
        <w:spacing w:line="560" w:lineRule="exact"/>
        <w:ind w:firstLineChars="200" w:firstLine="640"/>
        <w:rPr>
          <w:rFonts w:ascii="仿宋_GB2312" w:hAnsi="仿宋"/>
        </w:rPr>
      </w:pPr>
      <w:r>
        <w:rPr>
          <w:rFonts w:ascii="仿宋_GB2312" w:hAnsi="仿宋" w:hint="eastAsia"/>
        </w:rPr>
        <w:t>1.</w:t>
      </w:r>
      <w:r>
        <w:rPr>
          <w:rFonts w:ascii="仿宋_GB2312" w:hAnsi="仿宋" w:hint="eastAsia"/>
        </w:rPr>
        <w:t>实物配套。新建住宅项目社区配套用房按标准实物配建时，有关部门要充分结合社区现状，按照功能完善、便于管理和服务的要求，提前规划社区服务中心和社区配套用房布局，合理确定其位置、面积、功能及建设要求，避免社区配套用房零星布局。</w:t>
      </w:r>
    </w:p>
    <w:p w:rsidR="00FC3906" w:rsidRDefault="0041108F" w:rsidP="006703A8">
      <w:pPr>
        <w:spacing w:line="560" w:lineRule="exact"/>
        <w:ind w:firstLineChars="200" w:firstLine="640"/>
        <w:rPr>
          <w:rFonts w:ascii="仿宋_GB2312" w:hAnsi="仿宋"/>
        </w:rPr>
      </w:pPr>
      <w:r>
        <w:rPr>
          <w:rFonts w:ascii="仿宋_GB2312" w:hAnsi="仿宋" w:hint="eastAsia"/>
        </w:rPr>
        <w:t>2.</w:t>
      </w:r>
      <w:r>
        <w:rPr>
          <w:rFonts w:ascii="仿宋_GB2312" w:hAnsi="仿宋" w:hint="eastAsia"/>
        </w:rPr>
        <w:t>货币化配置。新建住宅项目落地社区已落实社区服务中心，且社区配套用房满足规划和实际需要时，可以通过货币化配置，落实社区配套用房要求。</w:t>
      </w:r>
    </w:p>
    <w:p w:rsidR="00FC3906" w:rsidRDefault="0041108F" w:rsidP="006703A8">
      <w:pPr>
        <w:spacing w:line="560" w:lineRule="exact"/>
        <w:ind w:firstLineChars="200" w:firstLine="640"/>
        <w:rPr>
          <w:rFonts w:ascii="仿宋_GB2312" w:hAnsi="仿宋"/>
        </w:rPr>
      </w:pPr>
      <w:r>
        <w:rPr>
          <w:rFonts w:ascii="仿宋_GB2312" w:hAnsi="仿宋" w:hint="eastAsia"/>
        </w:rPr>
        <w:t>3.</w:t>
      </w:r>
      <w:r>
        <w:rPr>
          <w:rFonts w:ascii="仿宋_GB2312" w:hAnsi="仿宋" w:hint="eastAsia"/>
        </w:rPr>
        <w:t>集中购置。新建住宅项目落地社区未落实社区服务中心时，</w:t>
      </w:r>
      <w:r>
        <w:rPr>
          <w:rFonts w:ascii="仿宋_GB2312" w:hAnsi="仿宋" w:hint="eastAsia"/>
        </w:rPr>
        <w:lastRenderedPageBreak/>
        <w:t>可以由有关部门与开发建设单位协商，在社区中心区域预留</w:t>
      </w:r>
      <w:r>
        <w:rPr>
          <w:rFonts w:ascii="仿宋_GB2312" w:hAnsi="仿宋" w:hint="eastAsia"/>
        </w:rPr>
        <w:t>600</w:t>
      </w:r>
      <w:r>
        <w:rPr>
          <w:rFonts w:ascii="仿宋_GB2312" w:hAnsi="仿宋" w:hint="eastAsia"/>
        </w:rPr>
        <w:t>平方米以上的社区配套用房，</w:t>
      </w:r>
      <w:proofErr w:type="gramStart"/>
      <w:r>
        <w:rPr>
          <w:rFonts w:ascii="仿宋_GB2312" w:hAnsi="仿宋" w:hint="eastAsia"/>
        </w:rPr>
        <w:t>除项目</w:t>
      </w:r>
      <w:proofErr w:type="gramEnd"/>
      <w:r>
        <w:rPr>
          <w:rFonts w:ascii="仿宋_GB2312" w:hAnsi="仿宋" w:hint="eastAsia"/>
        </w:rPr>
        <w:t>需按规定无偿提供的面积外，不足部分由市、街道两级财政购置。</w:t>
      </w:r>
    </w:p>
    <w:p w:rsidR="00FC3906" w:rsidRDefault="0041108F" w:rsidP="006703A8">
      <w:pPr>
        <w:spacing w:line="560" w:lineRule="exact"/>
        <w:ind w:firstLineChars="200" w:firstLine="640"/>
        <w:rPr>
          <w:rFonts w:ascii="仿宋_GB2312" w:hAnsi="仿宋"/>
        </w:rPr>
      </w:pPr>
      <w:r>
        <w:rPr>
          <w:rFonts w:ascii="仿宋_GB2312" w:hAnsi="仿宋" w:hint="eastAsia"/>
        </w:rPr>
        <w:t>4.</w:t>
      </w:r>
      <w:r>
        <w:rPr>
          <w:rFonts w:ascii="仿宋_GB2312" w:hAnsi="仿宋" w:hint="eastAsia"/>
        </w:rPr>
        <w:t>其他形式。新建住宅项目落地社区未落实社区服务中心时，也可通过国资划拨、选址新建等方式落实社区配套用房。对确需单独新建社区配套用房的，在符合规划的前提下，按政府投资项目基本</w:t>
      </w:r>
      <w:r>
        <w:rPr>
          <w:rFonts w:ascii="仿宋_GB2312" w:hAnsi="仿宋" w:hint="eastAsia"/>
        </w:rPr>
        <w:t>建设程序办理。</w:t>
      </w:r>
    </w:p>
    <w:p w:rsidR="00FC3906" w:rsidRDefault="0041108F" w:rsidP="006703A8">
      <w:pPr>
        <w:spacing w:line="560" w:lineRule="exact"/>
        <w:ind w:firstLineChars="200" w:firstLine="640"/>
        <w:rPr>
          <w:rFonts w:ascii="仿宋_GB2312" w:hAnsi="仿宋"/>
        </w:rPr>
      </w:pPr>
      <w:r>
        <w:rPr>
          <w:rFonts w:ascii="仿宋_GB2312" w:hAnsi="仿宋" w:hint="eastAsia"/>
        </w:rPr>
        <w:t>5.</w:t>
      </w:r>
      <w:r>
        <w:rPr>
          <w:rFonts w:ascii="仿宋_GB2312" w:hAnsi="仿宋" w:hint="eastAsia"/>
        </w:rPr>
        <w:t>进一步加强资源整合，有条件的社区，市、街道通过对分布零散、建设不规范、使用利用率低、其他不适宜作为社区配套用房的房产进行统筹置换、</w:t>
      </w:r>
      <w:proofErr w:type="gramStart"/>
      <w:r>
        <w:rPr>
          <w:rFonts w:ascii="仿宋_GB2312" w:hAnsi="仿宋" w:hint="eastAsia"/>
        </w:rPr>
        <w:t>换租达到</w:t>
      </w:r>
      <w:proofErr w:type="gramEnd"/>
      <w:r>
        <w:rPr>
          <w:rFonts w:ascii="仿宋_GB2312" w:hAnsi="仿宋" w:hint="eastAsia"/>
        </w:rPr>
        <w:t>社区服务中心用房单处面积</w:t>
      </w:r>
      <w:r>
        <w:rPr>
          <w:rFonts w:ascii="仿宋_GB2312" w:hAnsi="仿宋" w:hint="eastAsia"/>
        </w:rPr>
        <w:t>600</w:t>
      </w:r>
      <w:r>
        <w:rPr>
          <w:rFonts w:ascii="仿宋_GB2312" w:hAnsi="仿宋" w:hint="eastAsia"/>
        </w:rPr>
        <w:t>平方米。</w:t>
      </w:r>
    </w:p>
    <w:p w:rsidR="00FC3906" w:rsidRDefault="0041108F" w:rsidP="006703A8">
      <w:pPr>
        <w:spacing w:line="560" w:lineRule="exact"/>
        <w:ind w:firstLineChars="200" w:firstLine="640"/>
        <w:rPr>
          <w:rFonts w:ascii="仿宋_GB2312" w:hAnsi="仿宋"/>
        </w:rPr>
      </w:pPr>
      <w:r>
        <w:rPr>
          <w:rFonts w:ascii="仿宋_GB2312" w:hAnsi="仿宋" w:hint="eastAsia"/>
        </w:rPr>
        <w:t>6.</w:t>
      </w:r>
      <w:r>
        <w:rPr>
          <w:rFonts w:ascii="仿宋_GB2312" w:hAnsi="仿宋" w:hint="eastAsia"/>
        </w:rPr>
        <w:t>规划、建设部门及街道在项目选址论证阶段、方案审查阶段、规划审批阶段、规划核验阶段、移交过程中要严格按照社区配套用房执行标准，防止新建小区社区配套用房出现位置偏、分布散、楼层高等现象。</w:t>
      </w:r>
    </w:p>
    <w:p w:rsidR="00FC3906" w:rsidRDefault="0041108F" w:rsidP="006703A8">
      <w:pPr>
        <w:spacing w:line="560" w:lineRule="exact"/>
        <w:ind w:firstLineChars="200" w:firstLine="640"/>
      </w:pPr>
      <w:r>
        <w:rPr>
          <w:rFonts w:ascii="仿宋_GB2312" w:hAnsi="仿宋" w:hint="eastAsia"/>
        </w:rPr>
        <w:t>7.</w:t>
      </w:r>
      <w:r>
        <w:rPr>
          <w:rFonts w:ascii="仿宋_GB2312" w:hAnsi="仿宋" w:hint="eastAsia"/>
        </w:rPr>
        <w:t>出租闲置社区配套用房，提高利用率。社区已落实社区服务中心，且社区配套用房满足实际需求，按照项目适用、利用充分的原则，闲置用</w:t>
      </w:r>
      <w:r>
        <w:rPr>
          <w:rFonts w:ascii="仿宋_GB2312" w:hAnsi="仿宋" w:hint="eastAsia"/>
        </w:rPr>
        <w:t>房由街道统一调剂，制订相关规定规范出租，确保国有资产保值增值。</w:t>
      </w:r>
    </w:p>
    <w:sectPr w:rsidR="00FC3906" w:rsidSect="006703A8">
      <w:footerReference w:type="default" r:id="rId8"/>
      <w:pgSz w:w="11906" w:h="16838" w:code="9"/>
      <w:pgMar w:top="2098" w:right="1531" w:bottom="1985" w:left="1531" w:header="1020" w:footer="158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8F" w:rsidRDefault="0041108F" w:rsidP="006703A8">
      <w:r>
        <w:separator/>
      </w:r>
    </w:p>
  </w:endnote>
  <w:endnote w:type="continuationSeparator" w:id="0">
    <w:p w:rsidR="0041108F" w:rsidRDefault="0041108F" w:rsidP="0067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A8" w:rsidRDefault="006703A8" w:rsidP="006703A8">
    <w:pPr>
      <w:pStyle w:val="a4"/>
      <w:jc w:val="center"/>
    </w:pPr>
    <w:r>
      <w:fldChar w:fldCharType="begin"/>
    </w:r>
    <w:r>
      <w:instrText>PAGE   \* MERGEFORMAT</w:instrText>
    </w:r>
    <w:r>
      <w:fldChar w:fldCharType="separate"/>
    </w:r>
    <w:r w:rsidRPr="006703A8">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8F" w:rsidRDefault="0041108F" w:rsidP="006703A8">
      <w:r>
        <w:separator/>
      </w:r>
    </w:p>
  </w:footnote>
  <w:footnote w:type="continuationSeparator" w:id="0">
    <w:p w:rsidR="0041108F" w:rsidRDefault="0041108F" w:rsidP="00670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6208C"/>
    <w:rsid w:val="0041108F"/>
    <w:rsid w:val="006703A8"/>
    <w:rsid w:val="00FC3906"/>
    <w:rsid w:val="27D6208C"/>
    <w:rsid w:val="3DEB7BF6"/>
    <w:rsid w:val="52E96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0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703A8"/>
    <w:rPr>
      <w:rFonts w:eastAsia="仿宋_GB2312" w:cs="仿宋_GB2312"/>
      <w:kern w:val="2"/>
      <w:sz w:val="18"/>
      <w:szCs w:val="18"/>
    </w:rPr>
  </w:style>
  <w:style w:type="paragraph" w:styleId="a4">
    <w:name w:val="footer"/>
    <w:basedOn w:val="a"/>
    <w:link w:val="Char0"/>
    <w:rsid w:val="006703A8"/>
    <w:pPr>
      <w:tabs>
        <w:tab w:val="center" w:pos="4153"/>
        <w:tab w:val="right" w:pos="8306"/>
      </w:tabs>
      <w:snapToGrid w:val="0"/>
      <w:jc w:val="left"/>
    </w:pPr>
    <w:rPr>
      <w:sz w:val="18"/>
      <w:szCs w:val="18"/>
    </w:rPr>
  </w:style>
  <w:style w:type="character" w:customStyle="1" w:styleId="Char0">
    <w:name w:val="页脚 Char"/>
    <w:basedOn w:val="a0"/>
    <w:link w:val="a4"/>
    <w:rsid w:val="006703A8"/>
    <w:rPr>
      <w:rFonts w:eastAsia="仿宋_GB2312" w:cs="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0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703A8"/>
    <w:rPr>
      <w:rFonts w:eastAsia="仿宋_GB2312" w:cs="仿宋_GB2312"/>
      <w:kern w:val="2"/>
      <w:sz w:val="18"/>
      <w:szCs w:val="18"/>
    </w:rPr>
  </w:style>
  <w:style w:type="paragraph" w:styleId="a4">
    <w:name w:val="footer"/>
    <w:basedOn w:val="a"/>
    <w:link w:val="Char0"/>
    <w:rsid w:val="006703A8"/>
    <w:pPr>
      <w:tabs>
        <w:tab w:val="center" w:pos="4153"/>
        <w:tab w:val="right" w:pos="8306"/>
      </w:tabs>
      <w:snapToGrid w:val="0"/>
      <w:jc w:val="left"/>
    </w:pPr>
    <w:rPr>
      <w:sz w:val="18"/>
      <w:szCs w:val="18"/>
    </w:rPr>
  </w:style>
  <w:style w:type="character" w:customStyle="1" w:styleId="Char0">
    <w:name w:val="页脚 Char"/>
    <w:basedOn w:val="a0"/>
    <w:link w:val="a4"/>
    <w:rsid w:val="006703A8"/>
    <w:rPr>
      <w:rFonts w:eastAsia="仿宋_GB2312" w:cs="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285</Words>
  <Characters>1629</Characters>
  <Application>Microsoft Office Word</Application>
  <DocSecurity>0</DocSecurity>
  <Lines>13</Lines>
  <Paragraphs>3</Paragraphs>
  <ScaleCrop>false</ScaleCrop>
  <Company>Microsoft</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不会填词的钢琴先森</dc:creator>
  <cp:lastModifiedBy>Administrator</cp:lastModifiedBy>
  <cp:revision>3</cp:revision>
  <dcterms:created xsi:type="dcterms:W3CDTF">2022-01-11T02:55:00Z</dcterms:created>
  <dcterms:modified xsi:type="dcterms:W3CDTF">2022-01-22T08:14:00Z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E39A4B23D1584F419D1A8E8025CEA0C5</vt:lpwstr>
  </property>
</Properties>
</file>