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黑体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>类别标记：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560" w:lineRule="exact"/>
        <w:jc w:val="right"/>
        <w:rPr>
          <w:rFonts w:hint="eastAsia" w:ascii="仿宋_GB2312" w:eastAsia="仿宋_GB2312"/>
          <w:sz w:val="32"/>
        </w:rPr>
      </w:pPr>
    </w:p>
    <w:p>
      <w:pPr>
        <w:spacing w:line="1000" w:lineRule="exact"/>
        <w:jc w:val="center"/>
        <w:rPr>
          <w:rFonts w:hint="eastAsia" w:ascii="仿宋_GB2312" w:eastAsia="仿宋_GB2312"/>
          <w:sz w:val="32"/>
        </w:rPr>
      </w:pPr>
      <w:r>
        <w:rPr>
          <w:rFonts w:hint="eastAsia" w:ascii="方正小标宋简体" w:eastAsia="方正小标宋简体"/>
          <w:color w:val="FF0000"/>
          <w:spacing w:val="-57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57"/>
          <w:sz w:val="84"/>
          <w:lang w:eastAsia="zh-CN"/>
        </w:rPr>
        <w:t>综合行政执法</w:t>
      </w:r>
      <w:r>
        <w:rPr>
          <w:rFonts w:hint="eastAsia" w:ascii="方正小标宋简体" w:eastAsia="方正小标宋简体"/>
          <w:color w:val="FF0000"/>
          <w:spacing w:val="-57"/>
          <w:sz w:val="84"/>
        </w:rPr>
        <w:t>局文件</w:t>
      </w:r>
    </w:p>
    <w:p>
      <w:pPr>
        <w:spacing w:line="500" w:lineRule="exact"/>
        <w:rPr>
          <w:rFonts w:hint="eastAsia" w:ascii="仿宋_GB2312" w:eastAsia="仿宋_GB2312"/>
          <w:sz w:val="32"/>
        </w:rPr>
      </w:pPr>
    </w:p>
    <w:p>
      <w:pPr>
        <w:spacing w:line="50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</w:t>
      </w:r>
      <w:r>
        <w:rPr>
          <w:rFonts w:hint="eastAsia" w:ascii="仿宋_GB2312" w:eastAsia="仿宋_GB2312"/>
          <w:sz w:val="32"/>
          <w:lang w:eastAsia="zh-CN"/>
        </w:rPr>
        <w:t>综执</w:t>
      </w:r>
      <w:r>
        <w:rPr>
          <w:rFonts w:hint="eastAsia" w:ascii="仿宋_GB2312" w:eastAsia="仿宋_GB2312"/>
          <w:sz w:val="32"/>
        </w:rPr>
        <w:t>建〔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" w:hAnsi="仿宋" w:eastAsia="仿宋"/>
          <w:spacing w:val="-16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号　　　　 　　</w:t>
      </w:r>
      <w:r>
        <w:rPr>
          <w:rFonts w:hint="eastAsia" w:ascii="仿宋_GB2312" w:eastAsia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谢晖</w:t>
      </w:r>
      <w:r>
        <w:rPr>
          <w:rFonts w:hint="eastAsia" w:ascii="仿宋_GB2312" w:eastAsia="仿宋_GB2312"/>
          <w:sz w:val="32"/>
        </w:rPr>
        <w:t>　</w:t>
      </w:r>
    </w:p>
    <w:p>
      <w:pPr>
        <w:spacing w:line="420" w:lineRule="exact"/>
        <w:rPr>
          <w:rFonts w:hint="eastAsia" w:ascii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thick" w:color="FF0000"/>
        </w:rPr>
        <w:t xml:space="preserve">                                                   </w:t>
      </w:r>
      <w:r>
        <w:rPr>
          <w:rFonts w:hint="eastAsia" w:ascii="仿宋_GB2312" w:eastAsia="仿宋_GB2312"/>
          <w:sz w:val="32"/>
          <w:szCs w:val="32"/>
          <w:u w:val="thick" w:color="FF0000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  <w:u w:val="thick" w:color="FF0000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107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号建议的答复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center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石永芳代表: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您提出的《关于加大生活垃圾分类投放执法监管力度的建议》已收悉，我局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迅速迅速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组织人员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进行了认真研究，并提出具体承办意见，现答复如下：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一、慈溪市生活垃圾分类工作简况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2017年底，慈溪市推进生活垃圾分类工作以来，区域生活垃圾治理取得阶段性成效。2020年、2021年、2022年，我市连续三年获得省城镇（农村）生活垃圾分类考评优胜县（市、区）。2022年度，我市垃圾分类年度综合考评更是获得了全宁波农村第一、城镇第二的好成绩。生活垃圾治理的慈溪经验得到省、宁波高度肯定并加以推广。5年来，我市重点围绕源头分类、中间集运与末端处置三大重点环节，推动区域生活垃圾分类工作提质。源头分类方面，城乡小区“撤桶并点”全覆盖，桶内分类准确率超90%；村（散片）“上门集运”广扩面，智能集运模式被2022年中央一套《讲点访谈》节目专题报道。中间集运方面，对照“密闭、除臭、数字以及规范”要求，改建21座规范化垃圾中转站点；各地配齐四分类垃圾集运车148辆，日分类清运生活垃圾量近2000吨。末端处置方面，市内配套开诚有机、中科中茂、宁波环深等垃圾分类资源化处置消纳场所，建筑垃圾、园林（绿化）垃圾等配套处置项目同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二、意见建议相关落实情况与下阶段规划部署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（一）破袋投放意义与实际分类质量。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尽管垃圾分类工作开展已有5年，取得成效显著，但是实际群众对垃圾分类的社会治理属性认识不足，不少群众存在知晓垃圾分类确未正确分类甚至乱扔的习惯。破袋投放仍然是当前提升源头分类投放质量，培育良好文明分类习惯的最有效方式。同时，从当前厨余（餐厨）垃圾处置技术水平来看，破袋投放能减轻末端压力，防止塑料袋缠绕在刀片（转轴）上。此外，现阶段，疫情防控已进入新常态，第一波高峰过后，全市整体社会生产生活已基本恢复至疫情以前。破袋投放并不会加快病毒传播，更不会影响群众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（二）投放点消杀与保洁。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疫情起始以来，我市严格按照省、宁波等上级生活垃圾分类管理部门要求，开展垃圾投放点、中转站点、处置场所的消杀与保洁。属地各镇（街道）保障村（小区）投放点1-2次/日消杀频次。2022年下半年，我市也开展了“一点一房”（投放点、垃圾房）规范化改造，部分小区已配置植物液喷淋系统，开展自动消杀喷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（三）常态化执法检查与处置。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2019年10月1日《宁波市生活垃圾分类管理条例》正式实施以来，慈溪市综合执法局狠抓专项检查，强化攻坚分类水平。每年均下发生活垃圾专项整治文件，形成一把手抓总体、中队长抓具体的攻坚队伍，重点查处个人未分类投放生活垃圾、单位将餐厨垃圾与其他生活垃圾混合投放等违法行为。积极实施垃圾分类常态化管理，开展每日执法检查，依法依规对生活垃圾不分类等违法行为开展劝导，情节严重的进行查处。2023年以来截至4月20日，共出动执法人员2268人次。对垃圾分类相关案件立案310件，对垃圾分类相关案件共作出行政处罚决定265件，共处罚金额55390元。同时，针对居家群众垃圾分类意识薄弱、违法行为反复、执法取证难等问题，推动建设村（社区）、属地综合执法中队联动检查机制，并借助垃圾房监控、天网等设备，溯源违法行为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zh-CN" w:eastAsia="zh-CN"/>
        </w:rPr>
        <w:t>“一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查到底”；针对沿街店铺、商超、农贸市场等场所违法行为易发现象，将生活垃圾分类检查融入综合执法日常巡查，并建立执法长效机制，执法频率由一周两次提高到一天两次。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（四）宣传教育与氛围营造。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开展“线上+线下”广覆盖、多层次、高质量宣传教育活动。目前，我市已组建慈溪级垃圾分类微信公众号，开展督导员线上学习教育与考试。全市循环集市、分类助跑、垃圾去哪儿了等垃圾分类公益活动蓬勃开展。各地各部门积极组织开展精准化、颗粒化上门宣教。下阶段，我市将试点居住小区（行政村）群众垃圾分类质量榜单，公示住户分类情况的同时，建立末位住户督导志愿服务、垃圾乱丢有奖举报等社会动员机制。各地居住小区（行政村）全年实施入户宣教全覆盖。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2023年6月19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抄　　送：市人大代表工委，市政府办公室，市卫生健康局，古塘街道人大工作委员会。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 系 人：陈瑾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联系电话：63007518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right"/>
      <w:rPr>
        <w:rStyle w:val="8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- 17 -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OGExMWMyNzI0ZGRkMmM4NjcwYzZiNWQxYjA2M2IifQ=="/>
  </w:docVars>
  <w:rsids>
    <w:rsidRoot w:val="02EF00EC"/>
    <w:rsid w:val="02EF00EC"/>
    <w:rsid w:val="20880A26"/>
    <w:rsid w:val="305C56E5"/>
    <w:rsid w:val="3CC60708"/>
    <w:rsid w:val="51842E29"/>
    <w:rsid w:val="57561ED1"/>
    <w:rsid w:val="600E3B12"/>
    <w:rsid w:val="61F420B1"/>
    <w:rsid w:val="6B5D3291"/>
    <w:rsid w:val="6E31441B"/>
    <w:rsid w:val="6E7A64D0"/>
    <w:rsid w:val="75C251E3"/>
    <w:rsid w:val="7A6F7BBB"/>
    <w:rsid w:val="7BA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765</Characters>
  <Lines>0</Lines>
  <Paragraphs>0</Paragraphs>
  <TotalTime>0</TotalTime>
  <ScaleCrop>false</ScaleCrop>
  <LinksUpToDate>false</LinksUpToDate>
  <CharactersWithSpaces>902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2023-05-06T02:57:00Z</dcterms:created>
  <dc:creator>汤圆</dc:creator>
  <cp:lastModifiedBy>tf</cp:lastModifiedBy>
  <dcterms:modified xsi:type="dcterms:W3CDTF">2023-06-27T03:27:23Z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FB84D8B9A71743FBAA6E3031010E50B4_13</vt:lpwstr>
  </property>
</Properties>
</file>