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center"/>
        <w:rPr>
          <w:rFonts w:hint="eastAsia" w:ascii="方正小标宋简体" w:hAnsi="宋体" w:eastAsia="方正小标宋简体"/>
          <w:sz w:val="44"/>
          <w:szCs w:val="44"/>
          <w:lang w:eastAsia="zh-CN"/>
        </w:rPr>
      </w:pPr>
    </w:p>
    <w:p>
      <w:pPr>
        <w:pStyle w:val="3"/>
        <w:spacing w:before="0" w:beforeAutospacing="0" w:after="0" w:afterAutospacing="0" w:line="560" w:lineRule="exact"/>
        <w:jc w:val="center"/>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lang w:eastAsia="zh-CN"/>
        </w:rPr>
        <w:t>宁波杭州湾新区对慈溪市第十七届人民代表大会</w:t>
      </w:r>
    </w:p>
    <w:p>
      <w:pPr>
        <w:pStyle w:val="3"/>
        <w:spacing w:before="0" w:beforeAutospacing="0" w:after="0" w:afterAutospacing="0" w:line="560" w:lineRule="exact"/>
        <w:jc w:val="center"/>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lang w:eastAsia="zh-CN"/>
        </w:rPr>
        <w:t>第五次会议第</w:t>
      </w:r>
      <w:r>
        <w:rPr>
          <w:rFonts w:hint="eastAsia" w:ascii="方正小标宋简体" w:hAnsi="宋体" w:eastAsia="方正小标宋简体"/>
          <w:sz w:val="36"/>
          <w:szCs w:val="36"/>
          <w:lang w:val="en-US" w:eastAsia="zh-CN"/>
        </w:rPr>
        <w:t>210</w:t>
      </w:r>
      <w:r>
        <w:rPr>
          <w:rFonts w:hint="eastAsia" w:ascii="方正小标宋简体" w:hAnsi="宋体" w:eastAsia="方正小标宋简体"/>
          <w:sz w:val="36"/>
          <w:szCs w:val="36"/>
          <w:lang w:eastAsia="zh-CN"/>
        </w:rPr>
        <w:t>号建议的协办</w:t>
      </w:r>
      <w:bookmarkStart w:id="0" w:name="_GoBack"/>
      <w:bookmarkEnd w:id="0"/>
      <w:r>
        <w:rPr>
          <w:rFonts w:hint="eastAsia" w:ascii="方正小标宋简体" w:hAnsi="宋体" w:eastAsia="方正小标宋简体"/>
          <w:sz w:val="36"/>
          <w:szCs w:val="36"/>
          <w:lang w:eastAsia="zh-CN"/>
        </w:rPr>
        <w:t>意见</w:t>
      </w:r>
    </w:p>
    <w:p>
      <w:pPr>
        <w:pStyle w:val="3"/>
        <w:spacing w:before="0" w:beforeAutospacing="0" w:after="0" w:afterAutospacing="0" w:line="560" w:lineRule="exact"/>
        <w:rPr>
          <w:rFonts w:hint="eastAsia" w:ascii="仿宋_GB2312" w:eastAsia="仿宋_GB2312"/>
          <w:sz w:val="32"/>
          <w:szCs w:val="32"/>
        </w:rPr>
      </w:pPr>
    </w:p>
    <w:p>
      <w:pPr>
        <w:pStyle w:val="3"/>
        <w:spacing w:before="0" w:beforeAutospacing="0" w:after="0" w:afterAutospacing="0" w:line="560" w:lineRule="exact"/>
        <w:rPr>
          <w:rFonts w:hint="eastAsia" w:ascii="仿宋_GB2312" w:eastAsia="仿宋_GB2312"/>
          <w:sz w:val="32"/>
          <w:szCs w:val="32"/>
        </w:rPr>
      </w:pPr>
      <w:r>
        <w:rPr>
          <w:rFonts w:hint="eastAsia" w:ascii="仿宋_GB2312" w:hAnsi="宋体" w:eastAsia="仿宋_GB2312"/>
          <w:sz w:val="32"/>
          <w:szCs w:val="32"/>
          <w:lang w:val="en-US" w:eastAsia="zh-CN"/>
        </w:rPr>
        <w:t>慈溪市发改局</w:t>
      </w:r>
      <w:r>
        <w:rPr>
          <w:rFonts w:hint="eastAsia" w:ascii="仿宋_GB2312" w:hAnsi="宋体" w:eastAsia="仿宋_GB2312"/>
          <w:sz w:val="32"/>
          <w:szCs w:val="32"/>
        </w:rPr>
        <w:t>：</w:t>
      </w:r>
    </w:p>
    <w:p>
      <w:pPr>
        <w:ind w:firstLine="640" w:firstLineChars="200"/>
        <w:rPr>
          <w:rFonts w:hint="eastAsia" w:ascii="仿宋_GB2312" w:hAnsi="宋体" w:eastAsia="仿宋_GB2312"/>
          <w:sz w:val="32"/>
          <w:szCs w:val="32"/>
        </w:rPr>
      </w:pPr>
      <w:r>
        <w:rPr>
          <w:rFonts w:hint="eastAsia" w:ascii="仿宋_GB2312" w:eastAsia="仿宋_GB2312"/>
          <w:sz w:val="32"/>
          <w:szCs w:val="32"/>
          <w:lang w:val="en-US" w:eastAsia="zh-CN"/>
        </w:rPr>
        <w:t>奕红力代表</w:t>
      </w:r>
      <w:r>
        <w:rPr>
          <w:rFonts w:hint="eastAsia" w:ascii="仿宋_GB2312" w:hAnsi="宋体" w:eastAsia="仿宋_GB2312"/>
          <w:sz w:val="32"/>
          <w:szCs w:val="32"/>
        </w:rPr>
        <w:t>在慈溪市第十七届人民代表大会第五次会议期间提出的</w:t>
      </w:r>
      <w:r>
        <w:rPr>
          <w:rFonts w:hint="eastAsia" w:ascii="仿宋_GB2312" w:hAnsi="宋体" w:eastAsia="仿宋_GB2312"/>
          <w:sz w:val="32"/>
          <w:szCs w:val="32"/>
          <w:lang w:eastAsia="zh-CN"/>
        </w:rPr>
        <w:t>《关于加快市区融合全面融入前湾时代的建议》（第</w:t>
      </w:r>
      <w:r>
        <w:rPr>
          <w:rFonts w:hint="eastAsia" w:ascii="仿宋_GB2312" w:hAnsi="宋体" w:eastAsia="仿宋_GB2312"/>
          <w:sz w:val="32"/>
          <w:szCs w:val="32"/>
          <w:lang w:val="en-US" w:eastAsia="zh-CN"/>
        </w:rPr>
        <w:t>210号</w:t>
      </w:r>
      <w:r>
        <w:rPr>
          <w:rFonts w:hint="eastAsia" w:ascii="仿宋_GB2312" w:hAnsi="宋体" w:eastAsia="仿宋_GB2312"/>
          <w:sz w:val="32"/>
          <w:szCs w:val="32"/>
          <w:lang w:eastAsia="zh-CN"/>
        </w:rPr>
        <w:t>）建议</w:t>
      </w:r>
      <w:r>
        <w:rPr>
          <w:rFonts w:hint="eastAsia" w:ascii="仿宋_GB2312" w:hAnsi="宋体" w:eastAsia="仿宋_GB2312"/>
          <w:sz w:val="32"/>
          <w:szCs w:val="32"/>
        </w:rPr>
        <w:t>收悉。经研究，现就有关协办意见答复如下：</w:t>
      </w:r>
    </w:p>
    <w:p>
      <w:pPr>
        <w:pStyle w:val="2"/>
        <w:ind w:left="0" w:leftChars="0" w:firstLine="64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奕代表提到的“在现阶段慈溪与杭州湾新区合力，</w:t>
      </w:r>
      <w:r>
        <w:rPr>
          <w:rFonts w:hint="eastAsia" w:ascii="仿宋_GB2312" w:hAnsi="宋体" w:eastAsia="仿宋_GB2312" w:cs="Times New Roman"/>
          <w:sz w:val="32"/>
          <w:szCs w:val="32"/>
          <w:lang w:val="en-US" w:eastAsia="zh-CN"/>
        </w:rPr>
        <w:t>全力打造好文化商务区和滨海新城</w:t>
      </w:r>
      <w:r>
        <w:rPr>
          <w:rFonts w:hint="eastAsia" w:ascii="仿宋_GB2312" w:eastAsia="仿宋_GB2312"/>
          <w:sz w:val="32"/>
          <w:szCs w:val="32"/>
          <w:lang w:val="en-US" w:eastAsia="zh-CN"/>
        </w:rPr>
        <w:t>”，按照《宁波杭州湾新区国民经济和社会发展第十四个五年规划及二〇三五年远景目标纲要》，新区将立足前湾新区内部融合、两市一区联动发展，串联重点发展片区、整体优化提升，构建“一轴一带（城市核心功能集聚轴、滨海产业联动带）融合、两核（滨海创新发展核、南部产城服务核）两区（东部先进智造区、西部新兴产业区）互动、多组团（生活单元、产业单元和生态单元三类功能单元）合作”的东西联动一体化发展格局，实现新区与包括慈溪片区在内的多片区产业功能、商务功能、创新服务功能的错维互补，商贸互惠、要素互融、民生共享的一体化发展格局。</w:t>
      </w:r>
    </w:p>
    <w:p>
      <w:pPr>
        <w:pStyle w:val="2"/>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在代表重点提到的产业要素方面，就新区而言，新区将在“十四五”期间，围绕前湾新区打造世界级先进制造业基地，争取到2025年构建形成以汽车产业为龙头，以新材料、高端装备、智能家电三大产业为支柱，以电子信息、生物医药、通用航空、节能环保四个新兴产业为补充的“1+3+4”主导产业体系。同时，加强杭州湾新区与慈溪片区、余姚片区在产业规划、政策体系、招商机制等领域对接，完善全域招商体制机制，鼓励重大招商项目合理流转和向产业园区聚集，推动新区科技服务功能外溢，辐射带动前湾新区产业高质量发展。</w:t>
      </w:r>
    </w:p>
    <w:p>
      <w:pPr>
        <w:pStyle w:val="2"/>
        <w:ind w:left="0" w:leftChars="0" w:firstLine="640" w:firstLineChars="0"/>
        <w:rPr>
          <w:rFonts w:hint="eastAsia" w:ascii="仿宋_GB2312" w:eastAsia="仿宋_GB2312"/>
          <w:sz w:val="32"/>
          <w:szCs w:val="32"/>
          <w:lang w:val="en-US" w:eastAsia="zh-CN"/>
        </w:rPr>
      </w:pPr>
      <w:r>
        <w:rPr>
          <w:rFonts w:hint="eastAsia" w:ascii="仿宋_GB2312" w:eastAsia="仿宋_GB2312"/>
          <w:sz w:val="32"/>
          <w:szCs w:val="32"/>
          <w:lang w:val="en-US" w:eastAsia="zh-CN"/>
        </w:rPr>
        <w:t>最后，请贵局转达对奕代表关心新区与慈溪融合发展和建设工作的谢意。</w:t>
      </w:r>
    </w:p>
    <w:p>
      <w:pPr>
        <w:pStyle w:val="2"/>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特此致函。</w:t>
      </w:r>
    </w:p>
    <w:p>
      <w:pPr>
        <w:pStyle w:val="3"/>
        <w:spacing w:before="0" w:beforeAutospacing="0" w:after="0" w:afterAutospacing="0" w:line="560" w:lineRule="exact"/>
        <w:rPr>
          <w:rFonts w:hint="eastAsia" w:ascii="仿宋_GB2312" w:hAnsi="宋体" w:eastAsia="仿宋_GB2312"/>
          <w:sz w:val="32"/>
          <w:szCs w:val="32"/>
        </w:rPr>
      </w:pPr>
    </w:p>
    <w:p>
      <w:pPr>
        <w:pStyle w:val="3"/>
        <w:spacing w:before="0" w:beforeAutospacing="0" w:after="0" w:afterAutospacing="0" w:line="560" w:lineRule="exact"/>
        <w:rPr>
          <w:rFonts w:hint="eastAsia" w:ascii="仿宋_GB2312" w:hAnsi="宋体" w:eastAsia="仿宋_GB2312"/>
          <w:sz w:val="32"/>
          <w:szCs w:val="32"/>
        </w:rPr>
      </w:pPr>
    </w:p>
    <w:p>
      <w:pPr>
        <w:pStyle w:val="3"/>
        <w:wordWrap w:val="0"/>
        <w:spacing w:before="0" w:beforeAutospacing="0" w:after="0" w:afterAutospacing="0" w:line="560" w:lineRule="exact"/>
        <w:jc w:val="right"/>
        <w:rPr>
          <w:rFonts w:hint="eastAsia" w:ascii="仿宋_GB2312" w:hAnsi="宋体" w:eastAsia="仿宋_GB2312"/>
          <w:sz w:val="32"/>
          <w:szCs w:val="32"/>
          <w:lang w:eastAsia="zh-CN"/>
        </w:rPr>
      </w:pPr>
      <w:r>
        <w:rPr>
          <w:rFonts w:hint="eastAsia" w:ascii="仿宋_GB2312" w:hAnsi="宋体" w:eastAsia="仿宋_GB2312"/>
          <w:sz w:val="32"/>
          <w:szCs w:val="32"/>
          <w:lang w:eastAsia="zh-CN"/>
        </w:rPr>
        <w:t>宁波杭州湾新区开发建设管理委员会</w:t>
      </w:r>
    </w:p>
    <w:p>
      <w:pPr>
        <w:pStyle w:val="3"/>
        <w:wordWrap w:val="0"/>
        <w:spacing w:before="0" w:beforeAutospacing="0" w:after="0" w:afterAutospacing="0" w:line="560" w:lineRule="exact"/>
        <w:jc w:val="right"/>
        <w:rPr>
          <w:rFonts w:hint="eastAsia" w:ascii="仿宋_GB2312" w:eastAsia="仿宋_GB2312"/>
          <w:sz w:val="32"/>
          <w:szCs w:val="32"/>
          <w:lang w:val="en-US" w:eastAsia="zh-CN"/>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19</w:t>
      </w:r>
      <w:r>
        <w:rPr>
          <w:rFonts w:hint="eastAsia" w:ascii="仿宋_GB2312" w:hAnsi="宋体" w:eastAsia="仿宋_GB2312"/>
          <w:sz w:val="32"/>
          <w:szCs w:val="32"/>
        </w:rPr>
        <w:t>日</w:t>
      </w:r>
      <w:r>
        <w:rPr>
          <w:rFonts w:hint="eastAsia" w:ascii="仿宋_GB2312" w:hAnsi="宋体" w:eastAsia="仿宋_GB2312"/>
          <w:sz w:val="32"/>
          <w:szCs w:val="32"/>
          <w:lang w:val="en-US" w:eastAsia="zh-CN"/>
        </w:rPr>
        <w:t xml:space="preserve"> </w:t>
      </w:r>
    </w:p>
    <w:p>
      <w:pPr>
        <w:pStyle w:val="2"/>
        <w:rPr>
          <w:rFonts w:hint="eastAsia" w:ascii="仿宋_GB2312" w:hAnsi="宋体" w:eastAsia="仿宋_GB2312"/>
          <w:sz w:val="32"/>
          <w:szCs w:val="32"/>
          <w:lang w:eastAsia="zh-CN"/>
        </w:rPr>
      </w:pPr>
    </w:p>
    <w:p>
      <w:pPr>
        <w:pStyle w:val="2"/>
        <w:rPr>
          <w:rFonts w:hint="eastAsia" w:ascii="仿宋_GB2312" w:hAnsi="宋体" w:eastAsia="仿宋_GB2312"/>
          <w:sz w:val="32"/>
          <w:szCs w:val="32"/>
          <w:lang w:eastAsia="zh-CN"/>
        </w:rPr>
      </w:pPr>
    </w:p>
    <w:p>
      <w:pPr>
        <w:pStyle w:val="2"/>
        <w:rPr>
          <w:rFonts w:hint="eastAsia" w:ascii="仿宋_GB2312" w:hAnsi="宋体"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31A35"/>
    <w:rsid w:val="0D863DC7"/>
    <w:rsid w:val="2F4741FA"/>
    <w:rsid w:val="585F07C5"/>
    <w:rsid w:val="6B9B0784"/>
    <w:rsid w:val="75731A35"/>
    <w:rsid w:val="7F333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Char1"/>
    <w:basedOn w:val="1"/>
    <w:qFormat/>
    <w:uiPriority w:val="99"/>
    <w:pPr>
      <w:spacing w:line="360" w:lineRule="auto"/>
      <w:ind w:firstLine="420"/>
    </w:pPr>
    <w:rPr>
      <w:rFonts w:ascii="宋体" w:hAnsi="宋体" w:cs="宋体"/>
      <w:sz w:val="30"/>
    </w:rPr>
  </w:style>
  <w:style w:type="paragraph" w:styleId="3">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2021-04-19T08:27:00Z</dcterms:created>
  <dc:creator>Nuna</dc:creator>
  <cp:lastModifiedBy>巽</cp:lastModifiedBy>
  <dcterms:modified xsi:type="dcterms:W3CDTF">2021-05-17T08:07:02Z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ICV">
    <vt:lpwstr>5A4C27A0016D4CF69B430B0881896A71</vt:lpwstr>
  </property>
</Properties>
</file>