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0" w:lineRule="exact"/>
        <w:jc w:val="center"/>
        <w:rPr>
          <w:rFonts w:ascii="仿宋_GB2312" w:eastAsia="仿宋_GB2312"/>
          <w:spacing w:val="-20"/>
          <w:sz w:val="30"/>
          <w:szCs w:val="30"/>
        </w:rPr>
      </w:pPr>
      <w:r>
        <w:rPr>
          <w:rFonts w:hint="eastAsia" w:ascii="仿宋_GB2312" w:hAnsi="宋体" w:eastAsia="仿宋_GB2312"/>
          <w:spacing w:val="-20"/>
          <w:sz w:val="30"/>
          <w:szCs w:val="30"/>
        </w:rPr>
        <w:t>市安全监管局对市十七届人大一次会议第</w:t>
      </w:r>
      <w:r>
        <w:rPr>
          <w:rFonts w:ascii="仿宋_GB2312" w:hAnsi="宋体" w:eastAsia="仿宋_GB2312"/>
          <w:spacing w:val="-20"/>
          <w:sz w:val="30"/>
          <w:szCs w:val="30"/>
        </w:rPr>
        <w:t>283</w:t>
      </w:r>
      <w:r>
        <w:rPr>
          <w:rFonts w:hint="eastAsia" w:ascii="仿宋_GB2312" w:hAnsi="宋体" w:eastAsia="仿宋_GB2312"/>
          <w:spacing w:val="-20"/>
          <w:sz w:val="30"/>
          <w:szCs w:val="30"/>
        </w:rPr>
        <w:t>号建议的协办意见</w:t>
      </w:r>
    </w:p>
    <w:p>
      <w:pPr>
        <w:pStyle w:val="2"/>
        <w:spacing w:before="0" w:beforeAutospacing="0" w:after="0" w:afterAutospacing="0" w:line="480" w:lineRule="exact"/>
        <w:rPr>
          <w:rFonts w:ascii="仿宋_GB2312" w:eastAsia="仿宋_GB2312"/>
          <w:spacing w:val="-20"/>
          <w:sz w:val="30"/>
          <w:szCs w:val="30"/>
        </w:rPr>
      </w:pPr>
    </w:p>
    <w:p>
      <w:pPr>
        <w:pStyle w:val="2"/>
        <w:spacing w:before="0" w:beforeAutospacing="0" w:after="0" w:afterAutospacing="0" w:line="480" w:lineRule="exact"/>
        <w:rPr>
          <w:rFonts w:ascii="仿宋_GB2312" w:hAnsi="宋体" w:eastAsia="仿宋_GB2312"/>
          <w:spacing w:val="-20"/>
          <w:sz w:val="30"/>
          <w:szCs w:val="30"/>
        </w:rPr>
      </w:pPr>
      <w:r>
        <w:rPr>
          <w:rFonts w:hint="eastAsia" w:ascii="仿宋_GB2312" w:hAnsi="宋体" w:eastAsia="仿宋_GB2312"/>
          <w:spacing w:val="-20"/>
          <w:sz w:val="30"/>
          <w:szCs w:val="30"/>
        </w:rPr>
        <w:t>市公安局：</w:t>
      </w:r>
    </w:p>
    <w:p>
      <w:pPr>
        <w:pStyle w:val="2"/>
        <w:spacing w:before="0" w:beforeAutospacing="0" w:after="0" w:afterAutospacing="0" w:line="480" w:lineRule="exact"/>
        <w:ind w:firstLine="560" w:firstLineChars="200"/>
        <w:rPr>
          <w:rFonts w:ascii="仿宋_GB2312" w:hAnsi="宋体" w:eastAsia="仿宋_GB2312"/>
          <w:spacing w:val="-20"/>
          <w:sz w:val="30"/>
          <w:szCs w:val="30"/>
        </w:rPr>
      </w:pPr>
      <w:r>
        <w:rPr>
          <w:rFonts w:hint="eastAsia" w:ascii="仿宋_GB2312" w:hAnsi="宋体" w:eastAsia="仿宋_GB2312"/>
          <w:spacing w:val="-20"/>
          <w:sz w:val="30"/>
          <w:szCs w:val="30"/>
        </w:rPr>
        <w:t>范百先代表在市十七届人大一次会议大会期间提出的《关于禁止燃放烟花爆竹的建议》（第</w:t>
      </w:r>
      <w:r>
        <w:rPr>
          <w:rFonts w:ascii="仿宋_GB2312" w:hAnsi="宋体" w:eastAsia="仿宋_GB2312"/>
          <w:spacing w:val="-20"/>
          <w:sz w:val="30"/>
          <w:szCs w:val="30"/>
        </w:rPr>
        <w:t>283</w:t>
      </w:r>
      <w:r>
        <w:rPr>
          <w:rFonts w:hint="eastAsia" w:ascii="仿宋_GB2312" w:hAnsi="宋体" w:eastAsia="仿宋_GB2312"/>
          <w:spacing w:val="-20"/>
          <w:sz w:val="30"/>
          <w:szCs w:val="30"/>
        </w:rPr>
        <w:t>号）建议已收悉。经研究，现就有关协办意见答复如下：</w:t>
      </w:r>
    </w:p>
    <w:p>
      <w:pPr>
        <w:pStyle w:val="2"/>
        <w:spacing w:before="0" w:beforeAutospacing="0" w:after="0" w:afterAutospacing="0" w:line="480" w:lineRule="exact"/>
        <w:ind w:firstLine="600" w:firstLineChars="200"/>
        <w:rPr>
          <w:rFonts w:ascii="仿宋_GB2312" w:hAnsi="宋体" w:eastAsia="仿宋_GB2312"/>
          <w:spacing w:val="-20"/>
          <w:sz w:val="30"/>
          <w:szCs w:val="30"/>
        </w:rPr>
      </w:pPr>
      <w:r>
        <w:rPr>
          <w:rFonts w:hint="eastAsia" w:ascii="仿宋" w:hAnsi="仿宋" w:eastAsia="仿宋" w:cs="仿宋"/>
          <w:sz w:val="30"/>
          <w:szCs w:val="30"/>
        </w:rPr>
        <w:t>根据省政府令第</w:t>
      </w:r>
      <w:r>
        <w:rPr>
          <w:rFonts w:ascii="仿宋" w:hAnsi="仿宋" w:eastAsia="仿宋" w:cs="仿宋"/>
          <w:sz w:val="30"/>
          <w:szCs w:val="30"/>
        </w:rPr>
        <w:t>266</w:t>
      </w:r>
      <w:r>
        <w:rPr>
          <w:rFonts w:hint="eastAsia" w:ascii="仿宋" w:hAnsi="仿宋" w:eastAsia="仿宋" w:cs="仿宋"/>
          <w:sz w:val="30"/>
          <w:szCs w:val="30"/>
        </w:rPr>
        <w:t>号《浙江省烟花爆竹安全管理办法》，按照职责，主要做好以下工作：一是严格行政审批。目前，我市无烟花爆竹生产企业，有烟花爆竹批发经营企业</w:t>
      </w:r>
      <w:r>
        <w:rPr>
          <w:rFonts w:ascii="仿宋" w:hAnsi="仿宋" w:eastAsia="仿宋" w:cs="仿宋"/>
          <w:sz w:val="30"/>
          <w:szCs w:val="30"/>
        </w:rPr>
        <w:t>2</w:t>
      </w:r>
      <w:r>
        <w:rPr>
          <w:rFonts w:hint="eastAsia" w:ascii="仿宋" w:hAnsi="仿宋" w:eastAsia="仿宋" w:cs="仿宋"/>
          <w:sz w:val="30"/>
          <w:szCs w:val="30"/>
        </w:rPr>
        <w:t>家，零售店</w:t>
      </w:r>
      <w:r>
        <w:rPr>
          <w:rFonts w:ascii="仿宋" w:hAnsi="仿宋" w:eastAsia="仿宋" w:cs="仿宋"/>
          <w:sz w:val="30"/>
          <w:szCs w:val="30"/>
        </w:rPr>
        <w:t>154</w:t>
      </w:r>
      <w:r>
        <w:rPr>
          <w:rFonts w:hint="eastAsia" w:ascii="仿宋" w:hAnsi="仿宋" w:eastAsia="仿宋" w:cs="仿宋"/>
          <w:sz w:val="30"/>
          <w:szCs w:val="30"/>
        </w:rPr>
        <w:t>家（已从原来的</w:t>
      </w:r>
      <w:r>
        <w:rPr>
          <w:rFonts w:ascii="仿宋" w:hAnsi="仿宋" w:eastAsia="仿宋" w:cs="仿宋"/>
          <w:sz w:val="30"/>
          <w:szCs w:val="30"/>
        </w:rPr>
        <w:t>338</w:t>
      </w:r>
      <w:r>
        <w:rPr>
          <w:rFonts w:hint="eastAsia" w:ascii="仿宋" w:hAnsi="仿宋" w:eastAsia="仿宋" w:cs="仿宋"/>
          <w:sz w:val="30"/>
          <w:szCs w:val="30"/>
        </w:rPr>
        <w:t>家调整到现在的</w:t>
      </w:r>
      <w:r>
        <w:rPr>
          <w:rFonts w:ascii="仿宋" w:hAnsi="仿宋" w:eastAsia="仿宋" w:cs="仿宋"/>
          <w:sz w:val="30"/>
          <w:szCs w:val="30"/>
        </w:rPr>
        <w:t>154</w:t>
      </w:r>
      <w:r>
        <w:rPr>
          <w:rFonts w:hint="eastAsia" w:ascii="仿宋" w:hAnsi="仿宋" w:eastAsia="仿宋" w:cs="仿宋"/>
          <w:sz w:val="30"/>
          <w:szCs w:val="30"/>
        </w:rPr>
        <w:t>家，下降比例达</w:t>
      </w:r>
      <w:r>
        <w:rPr>
          <w:rFonts w:ascii="仿宋" w:hAnsi="仿宋" w:eastAsia="仿宋" w:cs="仿宋"/>
          <w:sz w:val="30"/>
          <w:szCs w:val="30"/>
        </w:rPr>
        <w:t>54.4%</w:t>
      </w:r>
      <w:r>
        <w:rPr>
          <w:rFonts w:hint="eastAsia" w:ascii="仿宋" w:hAnsi="仿宋" w:eastAsia="仿宋" w:cs="仿宋"/>
          <w:sz w:val="30"/>
          <w:szCs w:val="30"/>
        </w:rPr>
        <w:t>）。若城区划定禁（限）放区域、地段、时间等，我们将通过布点调整，严格条件审查，按禁限放要求合理管控烟花经营店布点、经营时间等作出调整或禁限。同时加大对烟花爆竹的日常监管和执法检查力度，组织专门人员不间断开展打击非法违法生产、经营行为，普及烟花爆竹安全知识和法律法规，规范烟花爆竹经营单位的经营行为。二是严格执法监管。通过批发企业安全生产标准化创建和零售店安全规范化达标等工作措施，目前</w:t>
      </w:r>
      <w:r>
        <w:rPr>
          <w:rFonts w:ascii="仿宋" w:hAnsi="仿宋" w:eastAsia="仿宋" w:cs="仿宋"/>
          <w:sz w:val="30"/>
          <w:szCs w:val="30"/>
        </w:rPr>
        <w:t>2</w:t>
      </w:r>
      <w:r>
        <w:rPr>
          <w:rFonts w:hint="eastAsia" w:ascii="仿宋" w:hAnsi="仿宋" w:eastAsia="仿宋" w:cs="仿宋"/>
          <w:sz w:val="30"/>
          <w:szCs w:val="30"/>
        </w:rPr>
        <w:t>家批发企业已经达到宁波市级以上标准化，零售店达到我市烟花爆竹安全规范化要求，并通过记分管理办法继续跟进，加强对烟花爆竹经营单位的日常监管和执法。三是严格打击查处。加强与公安、工商、质监、行政执法等部门的横向联系，特别是主动与公安部门沟通，开展烟花爆竹专项整治联合执法，严厉打击非法生产、运输、销售、储存烟花爆竹行为，以切断非法烟花爆竹流入市区的途径，从源头上减少烟花爆竹的违禁燃放。</w:t>
      </w:r>
    </w:p>
    <w:p>
      <w:pPr>
        <w:pStyle w:val="2"/>
        <w:spacing w:before="0" w:beforeAutospacing="0" w:after="0" w:afterAutospacing="0" w:line="480" w:lineRule="exact"/>
        <w:ind w:firstLine="560" w:firstLineChars="200"/>
        <w:rPr>
          <w:rFonts w:ascii="仿宋_GB2312" w:hAnsi="宋体" w:eastAsia="仿宋_GB2312"/>
          <w:spacing w:val="-20"/>
          <w:sz w:val="30"/>
          <w:szCs w:val="30"/>
        </w:rPr>
      </w:pPr>
      <w:r>
        <w:rPr>
          <w:rFonts w:hint="eastAsia" w:ascii="仿宋_GB2312" w:hAnsi="宋体" w:eastAsia="仿宋_GB2312"/>
          <w:spacing w:val="-20"/>
          <w:sz w:val="30"/>
          <w:szCs w:val="30"/>
        </w:rPr>
        <w:t>特此致函</w:t>
      </w:r>
    </w:p>
    <w:p>
      <w:pPr>
        <w:pStyle w:val="2"/>
        <w:spacing w:before="0" w:beforeAutospacing="0" w:after="0" w:afterAutospacing="0" w:line="480" w:lineRule="exact"/>
        <w:rPr>
          <w:rFonts w:ascii="仿宋_GB2312" w:hAnsi="宋体" w:eastAsia="仿宋_GB2312"/>
          <w:spacing w:val="-20"/>
          <w:sz w:val="30"/>
          <w:szCs w:val="30"/>
        </w:rPr>
      </w:pPr>
    </w:p>
    <w:p>
      <w:pPr>
        <w:pStyle w:val="2"/>
        <w:spacing w:before="0" w:beforeAutospacing="0" w:after="0" w:afterAutospacing="0" w:line="480" w:lineRule="exact"/>
        <w:ind w:firstLine="4900" w:firstLineChars="1750"/>
        <w:rPr>
          <w:rFonts w:ascii="仿宋_GB2312" w:hAnsi="宋体" w:eastAsia="仿宋_GB2312"/>
          <w:spacing w:val="-20"/>
          <w:sz w:val="30"/>
          <w:szCs w:val="30"/>
        </w:rPr>
      </w:pPr>
      <w:r>
        <w:rPr>
          <w:rFonts w:ascii="仿宋_GB2312" w:hAnsi="宋体" w:eastAsia="仿宋_GB2312"/>
          <w:spacing w:val="-20"/>
          <w:sz w:val="30"/>
          <w:szCs w:val="30"/>
        </w:rPr>
        <w:t xml:space="preserve">2017 </w:t>
      </w:r>
      <w:r>
        <w:rPr>
          <w:rFonts w:hint="eastAsia" w:ascii="仿宋_GB2312" w:hAnsi="宋体" w:eastAsia="仿宋_GB2312"/>
          <w:spacing w:val="-20"/>
          <w:sz w:val="30"/>
          <w:szCs w:val="30"/>
        </w:rPr>
        <w:t>年</w:t>
      </w:r>
      <w:r>
        <w:rPr>
          <w:rFonts w:ascii="仿宋_GB2312" w:hAnsi="宋体" w:eastAsia="仿宋_GB2312"/>
          <w:spacing w:val="-20"/>
          <w:sz w:val="30"/>
          <w:szCs w:val="30"/>
        </w:rPr>
        <w:t xml:space="preserve">5 </w:t>
      </w:r>
      <w:r>
        <w:rPr>
          <w:rFonts w:hint="eastAsia" w:ascii="仿宋_GB2312" w:hAnsi="宋体" w:eastAsia="仿宋_GB2312"/>
          <w:spacing w:val="-20"/>
          <w:sz w:val="30"/>
          <w:szCs w:val="30"/>
        </w:rPr>
        <w:t>月</w:t>
      </w:r>
      <w:r>
        <w:rPr>
          <w:rFonts w:ascii="仿宋_GB2312" w:hAnsi="宋体" w:eastAsia="仿宋_GB2312"/>
          <w:spacing w:val="-20"/>
          <w:sz w:val="30"/>
          <w:szCs w:val="30"/>
        </w:rPr>
        <w:t xml:space="preserve">4 </w:t>
      </w:r>
      <w:r>
        <w:rPr>
          <w:rFonts w:hint="eastAsia" w:ascii="仿宋_GB2312" w:hAnsi="宋体" w:eastAsia="仿宋_GB2312"/>
          <w:spacing w:val="-20"/>
          <w:sz w:val="30"/>
          <w:szCs w:val="30"/>
        </w:rPr>
        <w:t>日</w:t>
      </w:r>
    </w:p>
    <w:p>
      <w:pPr>
        <w:pStyle w:val="2"/>
        <w:spacing w:before="0" w:beforeAutospacing="0" w:after="0" w:afterAutospacing="0" w:line="480" w:lineRule="exact"/>
        <w:ind w:firstLine="280" w:firstLineChars="100"/>
        <w:rPr>
          <w:rFonts w:ascii="仿宋_GB2312" w:eastAsia="仿宋_GB2312"/>
          <w:spacing w:val="-20"/>
          <w:sz w:val="30"/>
          <w:szCs w:val="30"/>
        </w:rPr>
      </w:pPr>
      <w:r>
        <w:rPr>
          <w:rFonts w:hint="eastAsia" w:ascii="仿宋_GB2312" w:hAnsi="宋体" w:eastAsia="仿宋_GB2312"/>
          <w:spacing w:val="-20"/>
          <w:sz w:val="30"/>
          <w:szCs w:val="30"/>
        </w:rPr>
        <w:t>（联系人：</w:t>
      </w:r>
      <w:bookmarkStart w:id="0" w:name="_GoBack"/>
      <w:r>
        <w:rPr>
          <w:rFonts w:hint="eastAsia" w:ascii="仿宋_GB2312" w:hAnsi="宋体" w:eastAsia="仿宋_GB2312"/>
          <w:spacing w:val="-20"/>
          <w:sz w:val="30"/>
          <w:szCs w:val="30"/>
        </w:rPr>
        <w:t>戚利清</w:t>
      </w:r>
      <w:r>
        <w:rPr>
          <w:rFonts w:ascii="仿宋_GB2312" w:hAnsi="宋体" w:eastAsia="仿宋_GB2312"/>
          <w:spacing w:val="-20"/>
          <w:sz w:val="30"/>
          <w:szCs w:val="30"/>
        </w:rPr>
        <w:t xml:space="preserve"> </w:t>
      </w:r>
      <w:bookmarkEnd w:id="0"/>
      <w:r>
        <w:rPr>
          <w:rFonts w:hint="eastAsia" w:ascii="仿宋_GB2312" w:hAnsi="宋体" w:eastAsia="仿宋_GB2312"/>
          <w:spacing w:val="-20"/>
          <w:sz w:val="30"/>
          <w:szCs w:val="30"/>
        </w:rPr>
        <w:t>，联系电话：</w:t>
      </w:r>
      <w:r>
        <w:rPr>
          <w:rFonts w:ascii="仿宋_GB2312" w:hAnsi="宋体" w:eastAsia="仿宋_GB2312"/>
          <w:spacing w:val="-20"/>
          <w:sz w:val="30"/>
          <w:szCs w:val="30"/>
        </w:rPr>
        <w:t xml:space="preserve">63960815 )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C444D"/>
    <w:rsid w:val="663C44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2017-05-15T07:55:00Z</dcterms:created>
  <dc:creator>cxsd</dc:creator>
  <cp:lastModifiedBy>cxsd</cp:lastModifiedBy>
  <dcterms:modified xsi:type="dcterms:W3CDTF">2017-05-15T07:55:45Z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