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210" w:rightChars="10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eastAsia" w:ascii="黑体" w:eastAsia="黑体"/>
          <w:sz w:val="32"/>
          <w:lang w:val="en-US" w:eastAsia="zh-CN"/>
        </w:rPr>
        <w:t>A</w:t>
      </w:r>
      <w:r>
        <w:rPr>
          <w:rFonts w:hint="eastAsia" w:ascii="黑体" w:eastAsia="黑体"/>
          <w:sz w:val="32"/>
        </w:rPr>
        <w:t xml:space="preserve"> </w:t>
      </w:r>
    </w:p>
    <w:p>
      <w:pPr>
        <w:spacing w:line="460" w:lineRule="atLeast"/>
        <w:jc w:val="right"/>
        <w:rPr>
          <w:rFonts w:hint="eastAsia" w:ascii="仿宋_GB2312"/>
          <w:sz w:val="32"/>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 w:hAnsi="仿宋" w:eastAsia="仿宋"/>
          <w:sz w:val="32"/>
          <w:szCs w:val="32"/>
          <w:lang w:eastAsia="zh-CN"/>
        </w:rPr>
      </w:pPr>
      <w:r>
        <w:rPr>
          <w:rFonts w:hint="eastAsia" w:ascii="仿宋_GB2312"/>
          <w:sz w:val="32"/>
        </w:rPr>
        <w:t>　</w:t>
      </w: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lang w:val="en-US" w:eastAsia="zh-CN"/>
        </w:rPr>
        <w:t>8</w:t>
      </w:r>
      <w:r>
        <w:rPr>
          <w:rFonts w:hint="eastAsia" w:ascii="仿宋_GB2312" w:hAnsi="仿宋_GB2312" w:eastAsia="仿宋_GB2312" w:cs="仿宋_GB2312"/>
          <w:sz w:val="32"/>
          <w:szCs w:val="32"/>
        </w:rPr>
        <w:t>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sz w:val="32"/>
          <w:szCs w:val="32"/>
        </w:rPr>
      </w:pPr>
      <w:r>
        <w:rPr>
          <w:rFonts w:ascii="仿宋_GB2312"/>
          <w:color w:val="FF0000"/>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73025</wp:posOffset>
                </wp:positionV>
                <wp:extent cx="5558790"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5pt;height:0.2pt;width:437.7pt;z-index:251660288;mso-width-relative:page;mso-height-relative:page;" filled="f" stroked="t" coordsize="21600,21600" o:gfxdata="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ZjSdYAAAAGAQAADwAA&#10;AAAAAAABACAAAAAiAAAAZHJzL2Rvd25yZXYueG1sUEsBAhQAFAAAAAgAh07iQKHYBk7fAQAAmgMA&#10;AA4AAAAAAAAAAQAgAAAAJQEAAGRycy9lMm9Eb2MueG1sUEsFBgAAAAAGAAYAWQEAAHYFAAAAAA==&#10;">
                <v:fill on="f" focussize="0,0"/>
                <v:stroke weight="1.5pt" color="#FF0000" joinstyle="round"/>
                <v:imagedata o:title=""/>
                <o:lock v:ext="edit" aspectratio="f"/>
              </v:line>
            </w:pict>
          </mc:Fallback>
        </mc:AlternateContent>
      </w:r>
    </w:p>
    <w:p>
      <w:pPr>
        <w:jc w:val="both"/>
        <w:rPr>
          <w:rFonts w:hint="eastAsia" w:ascii="黑体" w:hAnsi="宋体" w:eastAsia="黑体"/>
          <w:sz w:val="36"/>
          <w:szCs w:val="36"/>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53</w:t>
      </w:r>
      <w:r>
        <w:rPr>
          <w:rFonts w:hint="eastAsia" w:ascii="方正小标宋简体" w:hAnsi="方正小标宋简体" w:eastAsia="方正小标宋简体" w:cs="方正小标宋简体"/>
          <w:sz w:val="44"/>
          <w:szCs w:val="44"/>
        </w:rPr>
        <w:t>号建议的答复</w:t>
      </w:r>
    </w:p>
    <w:p>
      <w:pPr>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周世祥</w:t>
      </w:r>
      <w:r>
        <w:rPr>
          <w:rFonts w:hint="eastAsia" w:ascii="仿宋_GB2312" w:hAnsi="仿宋_GB2312" w:eastAsia="仿宋_GB2312" w:cs="仿宋_GB2312"/>
          <w:spacing w:val="0"/>
          <w:sz w:val="32"/>
          <w:szCs w:val="32"/>
          <w:lang w:eastAsia="zh-CN"/>
        </w:rPr>
        <w:t>代表</w:t>
      </w:r>
      <w:r>
        <w:rPr>
          <w:rFonts w:hint="eastAsia" w:ascii="仿宋_GB2312" w:hAnsi="仿宋_GB2312" w:eastAsia="仿宋_GB2312" w:cs="仿宋_GB2312"/>
          <w:spacing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您提出的《关于规范梅农使用农药的建议》已收悉，我局及时组织人员进行了认真研究，并提出具体承办意见，现答复如下：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spacing w:val="0"/>
          <w:sz w:val="32"/>
          <w:szCs w:val="32"/>
          <w:lang w:val="en-US" w:eastAsia="zh-CN"/>
        </w:rPr>
        <w:t>慈溪是“中国杨梅之乡”，杨梅是我市的地理标志农产品，对于梅农增收致富极为重要，也是老百姓较为关注的农产品。近年来，我局高度重视杨梅质量发展及品质提升，做了大量的基础性工作。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一是严格绿色生态防控技术推广。</w:t>
      </w:r>
      <w:r>
        <w:rPr>
          <w:rFonts w:hint="eastAsia" w:ascii="仿宋_GB2312" w:hAnsi="仿宋_GB2312" w:eastAsia="仿宋_GB2312" w:cs="仿宋_GB2312"/>
          <w:b/>
          <w:bCs/>
          <w:spacing w:val="0"/>
          <w:sz w:val="32"/>
          <w:szCs w:val="32"/>
        </w:rPr>
        <w:t>开展杨梅生态栽培宣传手册的编写</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lang w:val="en-US" w:eastAsia="zh-CN"/>
        </w:rPr>
        <w:t>通过资料收集、图片拍摄、文字整理，以图文形式编写《慈溪杨梅生态栽培》宣传册，发放《慈溪杨梅生态栽培》宣传册10000余册。</w:t>
      </w:r>
      <w:r>
        <w:rPr>
          <w:rFonts w:hint="eastAsia" w:ascii="仿宋_GB2312" w:hAnsi="仿宋_GB2312" w:eastAsia="仿宋_GB2312" w:cs="仿宋_GB2312"/>
          <w:b/>
          <w:bCs/>
          <w:spacing w:val="0"/>
          <w:sz w:val="32"/>
          <w:szCs w:val="32"/>
        </w:rPr>
        <w:t>修订了杨梅标准</w:t>
      </w:r>
      <w:r>
        <w:rPr>
          <w:rFonts w:hint="eastAsia" w:ascii="仿宋_GB2312" w:hAnsi="仿宋_GB2312" w:eastAsia="仿宋_GB2312" w:cs="仿宋_GB2312"/>
          <w:b/>
          <w:bCs/>
          <w:spacing w:val="0"/>
          <w:sz w:val="32"/>
          <w:szCs w:val="32"/>
          <w:lang w:eastAsia="zh-CN"/>
        </w:rPr>
        <w:t>化生产</w:t>
      </w:r>
      <w:r>
        <w:rPr>
          <w:rFonts w:hint="eastAsia" w:ascii="仿宋_GB2312" w:hAnsi="仿宋_GB2312" w:eastAsia="仿宋_GB2312" w:cs="仿宋_GB2312"/>
          <w:b/>
          <w:bCs/>
          <w:spacing w:val="0"/>
          <w:sz w:val="32"/>
          <w:szCs w:val="32"/>
        </w:rPr>
        <w:t>模式图</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lang w:val="en-US" w:eastAsia="zh-CN"/>
        </w:rPr>
        <w:t>结合慈溪杨梅生产实际情况，修订了杨梅标准化生产模式图，删除了相关使用农药的文字，保护慈溪杨梅原生态的栽培习惯。</w:t>
      </w:r>
      <w:r>
        <w:rPr>
          <w:rFonts w:hint="eastAsia" w:ascii="仿宋_GB2312" w:hAnsi="仿宋_GB2312" w:eastAsia="仿宋_GB2312" w:cs="仿宋_GB2312"/>
          <w:b/>
          <w:bCs/>
          <w:spacing w:val="0"/>
          <w:sz w:val="32"/>
          <w:szCs w:val="32"/>
          <w:lang w:eastAsia="zh-CN"/>
        </w:rPr>
        <w:t>抓好技术培训。</w:t>
      </w:r>
      <w:r>
        <w:rPr>
          <w:rFonts w:hint="eastAsia" w:ascii="仿宋_GB2312" w:hAnsi="仿宋_GB2312" w:eastAsia="仿宋_GB2312" w:cs="仿宋_GB2312"/>
          <w:spacing w:val="0"/>
          <w:sz w:val="32"/>
          <w:szCs w:val="32"/>
          <w:lang w:val="en-US" w:eastAsia="zh-CN"/>
        </w:rPr>
        <w:t>借助市、镇、村三级平台，分层、分批组织举办杨梅生态种植培训会、现场操作演示会、杨梅林环境友好型抚育现场会等，配合“促成+避雨”等栽培技术推广、农业现代化机械操作，向广大梅农根植绿色生态种植观，同时大力推广合理修剪、科学施肥，釆用预防为主、综合防治，积极推广生物防治技术。近两年共开展培训30余次，培训人数2000余人次，同时已制订慈溪杨梅绿色栽培规程并进行发布。此外，积极推广杨梅林下化学除草为机械割草，全市共补贴割灌机100余台，有效促进杨梅林化学农药使用和生态环境恢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二是严格靶向监测和源头管控。强化检验检测。</w:t>
      </w:r>
      <w:r>
        <w:rPr>
          <w:rFonts w:hint="eastAsia" w:ascii="仿宋_GB2312" w:hAnsi="仿宋_GB2312" w:eastAsia="仿宋_GB2312" w:cs="仿宋_GB2312"/>
          <w:spacing w:val="0"/>
          <w:sz w:val="32"/>
          <w:szCs w:val="32"/>
          <w:lang w:val="en-US" w:eastAsia="zh-CN"/>
        </w:rPr>
        <w:t>在重点区域、重点环节、重点检测项目进行有针对性抽样检测。农业农村局根据近三年观海卫镇、桥头等地马路市场地产上市杨梅风险、监督抽样200余批次76项农药残留指标（含多效唑、氯吡脲、矮壮素、乙烯利等4种植物激素）显示，全部合格。市场监督管理局依托食品监督抽检手段加强对农贸(批）市场、商超上市杨梅的监管，2021年委托第三方检验检测机构开展检测6批次，涉及外地杨梅和本地杨梅，检测结果均合格。</w:t>
      </w:r>
      <w:r>
        <w:rPr>
          <w:rFonts w:hint="eastAsia" w:ascii="仿宋_GB2312" w:hAnsi="仿宋_GB2312" w:eastAsia="仿宋_GB2312" w:cs="仿宋_GB2312"/>
          <w:b/>
          <w:bCs/>
          <w:spacing w:val="0"/>
          <w:sz w:val="32"/>
          <w:szCs w:val="32"/>
          <w:lang w:val="en-US" w:eastAsia="zh-CN"/>
        </w:rPr>
        <w:t>实行高毒农药退市制度。</w:t>
      </w:r>
      <w:r>
        <w:rPr>
          <w:rFonts w:hint="eastAsia" w:ascii="仿宋_GB2312" w:hAnsi="仿宋_GB2312" w:eastAsia="仿宋_GB2312" w:cs="仿宋_GB2312"/>
          <w:spacing w:val="0"/>
          <w:sz w:val="32"/>
          <w:szCs w:val="32"/>
          <w:lang w:val="en-US" w:eastAsia="zh-CN"/>
        </w:rPr>
        <w:t>由于高毒农药和高残留农药对农产品质量影响较大，我市通过多年实践，创造“协会倡议、企业承诺、执法监管”高毒农药市场退出机制。从2012年起，已有克百威、氧乐果、氟虫腈、三氯杀螨醇、氰戊菊酯、丁酰肼(比久)、乙酰甲胺磷、丁硫克百威、毒死蜱、三唑磷等27种高毒高残留农药退出了市场，从源头上保障农产品质量安全。</w:t>
      </w:r>
      <w:r>
        <w:rPr>
          <w:rFonts w:hint="eastAsia" w:ascii="仿宋_GB2312" w:hAnsi="仿宋_GB2312" w:eastAsia="仿宋_GB2312" w:cs="仿宋_GB2312"/>
          <w:b/>
          <w:bCs/>
          <w:spacing w:val="0"/>
          <w:sz w:val="32"/>
          <w:szCs w:val="32"/>
          <w:lang w:val="en-US" w:eastAsia="zh-CN"/>
        </w:rPr>
        <w:t>加强对杨梅质量安全进行隐患分析。</w:t>
      </w:r>
      <w:r>
        <w:rPr>
          <w:rFonts w:hint="eastAsia" w:ascii="仿宋_GB2312" w:hAnsi="仿宋_GB2312" w:eastAsia="仿宋_GB2312" w:cs="仿宋_GB2312"/>
          <w:spacing w:val="0"/>
          <w:sz w:val="32"/>
          <w:szCs w:val="32"/>
          <w:lang w:val="en-US" w:eastAsia="zh-CN"/>
        </w:rPr>
        <w:t>每年召开杨梅产销形势分析会，对杨梅质量安全风险隐患和舆论风险隐患进行预警分析，要求各地强化属地管理，禁用高毒农药和无登记农药。</w:t>
      </w:r>
      <w:r>
        <w:rPr>
          <w:rFonts w:hint="eastAsia" w:ascii="仿宋_GB2312" w:hAnsi="仿宋_GB2312" w:eastAsia="仿宋_GB2312" w:cs="仿宋_GB2312"/>
          <w:b/>
          <w:bCs/>
          <w:spacing w:val="0"/>
          <w:sz w:val="32"/>
          <w:szCs w:val="32"/>
          <w:lang w:val="en-US" w:eastAsia="zh-CN"/>
        </w:rPr>
        <w:t>加强执法检查。</w:t>
      </w:r>
      <w:r>
        <w:rPr>
          <w:rFonts w:hint="eastAsia" w:ascii="仿宋_GB2312" w:hAnsi="仿宋_GB2312" w:eastAsia="仿宋_GB2312" w:cs="仿宋_GB2312"/>
          <w:spacing w:val="0"/>
          <w:sz w:val="32"/>
          <w:szCs w:val="32"/>
          <w:lang w:val="en-US" w:eastAsia="zh-CN"/>
        </w:rPr>
        <w:t>对相关镇的杨梅使用的相关农资进行不定时检查。近两年，联合属地镇开展监管、执法等检查100余人次，检查农资店43家次。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三是严格落实生产主体责任。开展了</w:t>
      </w:r>
      <w:r>
        <w:rPr>
          <w:rFonts w:hint="eastAsia" w:ascii="仿宋_GB2312" w:hAnsi="仿宋_GB2312" w:eastAsia="仿宋_GB2312" w:cs="仿宋_GB2312"/>
          <w:b/>
          <w:bCs/>
          <w:spacing w:val="0"/>
          <w:sz w:val="32"/>
          <w:szCs w:val="32"/>
        </w:rPr>
        <w:t>“慈溪杨梅”地理标志证明商标</w:t>
      </w:r>
      <w:r>
        <w:rPr>
          <w:rFonts w:hint="eastAsia" w:ascii="仿宋_GB2312" w:hAnsi="仿宋_GB2312" w:eastAsia="仿宋_GB2312" w:cs="仿宋_GB2312"/>
          <w:b/>
          <w:bCs/>
          <w:spacing w:val="0"/>
          <w:sz w:val="32"/>
          <w:szCs w:val="32"/>
          <w:lang w:eastAsia="zh-CN"/>
        </w:rPr>
        <w:t>授权</w:t>
      </w:r>
      <w:r>
        <w:rPr>
          <w:rFonts w:hint="eastAsia" w:ascii="仿宋_GB2312" w:hAnsi="仿宋_GB2312" w:eastAsia="仿宋_GB2312" w:cs="仿宋_GB2312"/>
          <w:b/>
          <w:bCs/>
          <w:spacing w:val="0"/>
          <w:sz w:val="32"/>
          <w:szCs w:val="32"/>
          <w:highlight w:val="none"/>
          <w:lang w:eastAsia="zh-CN"/>
        </w:rPr>
        <w:t>使用。</w:t>
      </w:r>
      <w:r>
        <w:rPr>
          <w:rFonts w:hint="eastAsia" w:ascii="仿宋_GB2312" w:hAnsi="仿宋_GB2312" w:eastAsia="仿宋_GB2312" w:cs="仿宋_GB2312"/>
          <w:spacing w:val="0"/>
          <w:sz w:val="32"/>
          <w:szCs w:val="32"/>
          <w:lang w:val="en-US" w:eastAsia="zh-CN"/>
        </w:rPr>
        <w:t>举行了“慈溪杨梅”地理标志证明商标等使用授权仪式，慈溪市紫来山庄杨梅开发有限公司等50余家单位取得“慈溪杨梅”地理标志证明商标、原产地标志及农产品地理标志等的授权使用资格。对授权使用单位实行果品质量安全追溯制，将开展标志使用和质量安全监查。</w:t>
      </w:r>
      <w:r>
        <w:rPr>
          <w:rFonts w:hint="eastAsia" w:ascii="仿宋_GB2312" w:hAnsi="仿宋_GB2312" w:eastAsia="仿宋_GB2312" w:cs="仿宋_GB2312"/>
          <w:b/>
          <w:bCs/>
          <w:spacing w:val="0"/>
          <w:sz w:val="32"/>
          <w:szCs w:val="32"/>
          <w:highlight w:val="none"/>
          <w:lang w:eastAsia="zh-CN"/>
        </w:rPr>
        <w:t>对杨梅开展二维码质量安全追溯。</w:t>
      </w:r>
      <w:r>
        <w:rPr>
          <w:rFonts w:hint="eastAsia" w:ascii="仿宋_GB2312" w:hAnsi="仿宋_GB2312" w:eastAsia="仿宋_GB2312" w:cs="仿宋_GB2312"/>
          <w:spacing w:val="0"/>
          <w:sz w:val="32"/>
          <w:szCs w:val="32"/>
          <w:lang w:val="en-US" w:eastAsia="zh-CN"/>
        </w:rPr>
        <w:t>加大杨梅质量安全追溯力度，有上百家单位使用农产品质量安全二维码的追溯，通过扫描二维码实现产品质量安全追溯，杨梅上市期打印农产品合格证超万份。</w:t>
      </w:r>
      <w:r>
        <w:rPr>
          <w:rFonts w:hint="eastAsia" w:ascii="仿宋_GB2312" w:hAnsi="仿宋_GB2312" w:eastAsia="仿宋_GB2312" w:cs="仿宋_GB2312"/>
          <w:b/>
          <w:bCs/>
          <w:spacing w:val="0"/>
          <w:sz w:val="32"/>
          <w:szCs w:val="32"/>
          <w:highlight w:val="none"/>
          <w:lang w:val="en-US" w:eastAsia="zh-CN"/>
        </w:rPr>
        <w:t>畅通群众反映举报渠道。</w:t>
      </w:r>
      <w:r>
        <w:rPr>
          <w:rFonts w:hint="eastAsia" w:ascii="仿宋_GB2312" w:hAnsi="仿宋_GB2312" w:eastAsia="仿宋_GB2312" w:cs="仿宋_GB2312"/>
          <w:spacing w:val="0"/>
          <w:sz w:val="32"/>
          <w:szCs w:val="32"/>
          <w:lang w:val="en-US" w:eastAsia="zh-CN"/>
        </w:rPr>
        <w:t>在南部山区杨梅主要种植区域公布举报电话，方便群众反映举报，并完善举报响应、监查机制。今年，联合横河、匡堰、观海卫等镇在杨梅产区设立农产品质量安全宣传牌，并公布投诉举报电话81890000、12316，形成人人关心杨梅质量安全的浓郁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梅生态栽培是我市杨梅的一张金名片，但是自然栽培方式上市期短、品相欠佳等问题也束缚了我市杨梅产业的发展壮大，既需要传承我市自然的生产栽培模式也需要学习借鉴外地杨梅品牌建设、市场营销、生态栽培等多方面的技术，强化杨梅生产技术科技攻关，破解防果蝇、保鲜等难题，真正将我市地理标志杨梅品牌打响，助力梅农增收致富。下步，我局将联合市场监管等部门结合省市场监管局食品安全风险治理“一月一行动”总体安排，将杨梅农残超标等问题纳入专项治理行动，强化农资源头监管、突出检验检测、抓好技术培训及宣传等问题，加强对检出不合格闭环处置，并按规定公布相关信息，进一步擦亮我市绿色生态杨梅品牌，切实保障人民群众舌尖上的安全。</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1260" w:rightChars="600"/>
        <w:jc w:val="righ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eastAsia="zh-CN"/>
        </w:rPr>
        <w:t>二十七</w:t>
      </w:r>
      <w:r>
        <w:rPr>
          <w:rFonts w:hint="eastAsia" w:ascii="仿宋_GB2312" w:hAnsi="仿宋_GB2312" w:eastAsia="仿宋_GB2312" w:cs="仿宋_GB2312"/>
          <w:spacing w:val="0"/>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sz w:val="32"/>
          <w:szCs w:val="32"/>
          <w:lang w:val="en-US" w:eastAsia="zh-CN"/>
        </w:rPr>
        <w:t>市市场监管局</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观海卫</w:t>
      </w:r>
      <w:r>
        <w:rPr>
          <w:rFonts w:hint="eastAsia" w:ascii="仿宋_GB2312" w:hAnsi="仿宋_GB2312" w:eastAsia="仿宋_GB2312" w:cs="仿宋_GB2312"/>
          <w:spacing w:val="0"/>
          <w:sz w:val="32"/>
          <w:szCs w:val="32"/>
        </w:rPr>
        <w:t>镇</w:t>
      </w:r>
      <w:r>
        <w:rPr>
          <w:rFonts w:hint="eastAsia" w:ascii="仿宋_GB2312" w:hAnsi="仿宋_GB2312" w:eastAsia="仿宋_GB2312" w:cs="仿宋_GB2312"/>
          <w:spacing w:val="0"/>
          <w:sz w:val="32"/>
          <w:szCs w:val="32"/>
          <w:lang w:val="en-US" w:eastAsia="zh-CN"/>
        </w:rPr>
        <w:t>人大</w:t>
      </w:r>
      <w:r>
        <w:rPr>
          <w:rFonts w:hint="eastAsia" w:ascii="仿宋_GB2312" w:hAnsi="仿宋_GB2312" w:eastAsia="仿宋_GB2312" w:cs="仿宋_GB2312"/>
          <w:spacing w:val="0"/>
          <w:sz w:val="32"/>
          <w:szCs w:val="32"/>
        </w:rPr>
        <w:t>主席团。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eastAsia="zh-CN"/>
        </w:rPr>
        <w:t>徐伟韦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63976931</w:t>
      </w:r>
    </w:p>
    <w:sectPr>
      <w:footerReference r:id="rId3" w:type="default"/>
      <w:pgSz w:w="11906" w:h="16838"/>
      <w:pgMar w:top="2098" w:right="1474"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D4945"/>
    <w:rsid w:val="0F1D4945"/>
    <w:rsid w:val="179770FE"/>
    <w:rsid w:val="18812C44"/>
    <w:rsid w:val="1D2063CE"/>
    <w:rsid w:val="2C9B04AA"/>
    <w:rsid w:val="391D42CB"/>
    <w:rsid w:val="3A981B64"/>
    <w:rsid w:val="3EB56509"/>
    <w:rsid w:val="4F3A0C8B"/>
    <w:rsid w:val="6E3E6EF4"/>
    <w:rsid w:val="75E05365"/>
    <w:rsid w:val="7A8A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8"/>
    <w:unhideWhenUsed/>
    <w:qFormat/>
    <w:uiPriority w:val="99"/>
    <w:pPr>
      <w:spacing w:before="236" w:after="0"/>
      <w:ind w:left="120" w:firstLine="420" w:firstLineChars="100"/>
    </w:pPr>
    <w:rPr>
      <w:rFonts w:hint="eastAsia" w:ascii="仿宋_GB2312" w:eastAsia="仿宋_GB2312"/>
      <w:kern w:val="0"/>
      <w:sz w:val="32"/>
      <w:szCs w:val="32"/>
    </w:rPr>
  </w:style>
  <w:style w:type="paragraph" w:styleId="8">
    <w:name w:val="Body Text First Indent 2"/>
    <w:basedOn w:val="4"/>
    <w:unhideWhenUsed/>
    <w:qFormat/>
    <w:uiPriority w:val="99"/>
    <w:pPr>
      <w:spacing w:line="380" w:lineRule="exact"/>
      <w:ind w:firstLine="420" w:firstLineChars="200"/>
    </w:pPr>
    <w:rPr>
      <w:rFonts w:ascii="Times New Roman" w:hAnsi="Times New Roman" w:eastAsia="方正书宋简体"/>
      <w:kern w:val="0"/>
      <w:szCs w:val="20"/>
    </w:rPr>
  </w:style>
  <w:style w:type="paragraph" w:customStyle="1" w:styleId="11">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2022-06-06T03:42:00Z</dcterms:created>
  <dc:creator>nak-hsm</dc:creator>
  <cp:lastModifiedBy>Lenovo</cp:lastModifiedBy>
  <dcterms:modified xsi:type="dcterms:W3CDTF">2022-06-29T03:46:48Z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