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620"/>
        <w:rPr>
          <w:rFonts w:hint="eastAsia" w:ascii="仿宋_GB2312" w:eastAsia="仿宋_GB2312"/>
          <w:color w:val="FF0000"/>
          <w:sz w:val="32"/>
        </w:rPr>
      </w:pPr>
    </w:p>
    <w:p>
      <w:pPr>
        <w:spacing w:line="1000" w:lineRule="exact"/>
        <w:jc w:val="center"/>
        <w:rPr>
          <w:rFonts w:hint="eastAsia" w:ascii="方正小标宋简体" w:eastAsia="方正小标宋简体"/>
          <w:color w:val="FF0000"/>
          <w:w w:val="90"/>
          <w:sz w:val="72"/>
          <w:szCs w:val="72"/>
        </w:rPr>
      </w:pPr>
      <w:r>
        <w:rPr>
          <w:rFonts w:hint="eastAsia" w:ascii="方正小标宋简体" w:eastAsia="方正小标宋简体"/>
          <w:color w:val="FF0000"/>
          <w:w w:val="90"/>
          <w:sz w:val="72"/>
          <w:szCs w:val="72"/>
        </w:rPr>
        <w:t>慈溪市经济和信息化局</w:t>
      </w:r>
    </w:p>
    <w:p>
      <w:pPr>
        <w:pBdr>
          <w:bottom w:val="single" w:color="auto" w:sz="4" w:space="1"/>
        </w:pBdr>
        <w:spacing w:line="560" w:lineRule="exact"/>
        <w:rPr>
          <w:rFonts w:hint="eastAsia" w:ascii="仿宋_GB2312" w:eastAsia="仿宋_GB2312"/>
          <w:color w:val="FF0000"/>
          <w:sz w:val="32"/>
          <w:u w:val="single" w:color="FF0000"/>
        </w:rPr>
      </w:pPr>
      <w:r>
        <w:rPr>
          <w:sz w:val="32"/>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370840</wp:posOffset>
                </wp:positionV>
                <wp:extent cx="5278120" cy="0"/>
                <wp:effectExtent l="0" t="0" r="0" b="0"/>
                <wp:wrapNone/>
                <wp:docPr id="1" name="直接连接符 1"/>
                <wp:cNvGraphicFramePr/>
                <a:graphic xmlns:a="http://schemas.openxmlformats.org/drawingml/2006/main">
                  <a:graphicData uri="http://schemas.microsoft.com/office/word/2010/wordprocessingShape">
                    <wps:wsp>
                      <wps:cNvCnPr/>
                      <wps:spPr>
                        <a:xfrm>
                          <a:off x="1151255" y="2306320"/>
                          <a:ext cx="5278120" cy="0"/>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0.05pt;margin-top:29.2pt;height:0pt;width:415.6pt;z-index:251658240;mso-width-relative:page;mso-height-relative:page;" filled="f" stroked="t" coordsize="21600,21600" o:gfxdata="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rXXRHVAAAABgEAAA8AAAAAAAAAAQAg&#10;AAAAIgAAAGRycy9kb3ducmV2LnhtbFBLAQIUABQAAAAIAIdO4kBr/FHk2AEAAHADAAAOAAAAAAAA&#10;AAEAIAAAACQBAABkcnMvZTJvRG9jLnhtbFBLBQYAAAAABgAGAFkBAABuBQAAAAA=&#10;">
                <v:fill on="f" focussize="0,0"/>
                <v:stroke weight="2.25pt" color="#FF0000 [3205]" miterlimit="8" joinstyle="miter"/>
                <v:imagedata o:title=""/>
                <o:lock v:ext="edit" aspectratio="f"/>
              </v:line>
            </w:pict>
          </mc:Fallback>
        </mc:AlternateContent>
      </w:r>
    </w:p>
    <w:p>
      <w:pPr>
        <w:spacing w:line="560" w:lineRule="exact"/>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val="0"/>
        <w:spacing w:line="552"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关于市十七届人大三次会议</w:t>
      </w:r>
    </w:p>
    <w:p>
      <w:pPr>
        <w:keepNext w:val="0"/>
        <w:keepLines w:val="0"/>
        <w:pageBreakBefore w:val="0"/>
        <w:widowControl w:val="0"/>
        <w:kinsoku/>
        <w:wordWrap/>
        <w:overflowPunct/>
        <w:topLinePunct w:val="0"/>
        <w:autoSpaceDE/>
        <w:autoSpaceDN/>
        <w:bidi w:val="0"/>
        <w:adjustRightInd/>
        <w:snapToGrid w:val="0"/>
        <w:spacing w:line="552"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第224号</w:t>
      </w:r>
      <w:r>
        <w:rPr>
          <w:rFonts w:hint="eastAsia" w:ascii="方正小标宋简体" w:hAnsi="方正小标宋简体" w:eastAsia="方正小标宋简体" w:cs="方正小标宋简体"/>
          <w:b/>
          <w:bCs/>
          <w:sz w:val="44"/>
          <w:szCs w:val="44"/>
          <w:lang w:eastAsia="zh-CN"/>
        </w:rPr>
        <w:t>建议</w:t>
      </w:r>
      <w:r>
        <w:rPr>
          <w:rFonts w:hint="eastAsia" w:ascii="方正小标宋简体" w:hAnsi="方正小标宋简体" w:eastAsia="方正小标宋简体" w:cs="方正小标宋简体"/>
          <w:b/>
          <w:bCs/>
          <w:sz w:val="44"/>
          <w:szCs w:val="44"/>
        </w:rPr>
        <w:t xml:space="preserve">的协办意见 </w:t>
      </w:r>
    </w:p>
    <w:p>
      <w:pPr>
        <w:pStyle w:val="2"/>
        <w:keepNext w:val="0"/>
        <w:keepLines w:val="0"/>
        <w:pageBreakBefore w:val="0"/>
        <w:widowControl w:val="0"/>
        <w:kinsoku/>
        <w:wordWrap/>
        <w:overflowPunct/>
        <w:topLinePunct w:val="0"/>
        <w:autoSpaceDE/>
        <w:autoSpaceDN/>
        <w:bidi w:val="0"/>
        <w:adjustRightInd/>
        <w:spacing w:line="552"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552"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市市场监管局：</w:t>
      </w:r>
    </w:p>
    <w:p>
      <w:pPr>
        <w:keepNext w:val="0"/>
        <w:keepLines w:val="0"/>
        <w:pageBreakBefore w:val="0"/>
        <w:widowControl w:val="0"/>
        <w:kinsoku/>
        <w:wordWrap/>
        <w:overflowPunct/>
        <w:topLinePunct w:val="0"/>
        <w:autoSpaceDE/>
        <w:autoSpaceDN/>
        <w:bidi w:val="0"/>
        <w:adjustRightInd/>
        <w:snapToGrid w:val="0"/>
        <w:spacing w:line="552"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方国洪委员提出的《关于提升我市企业品牌竞争力的建议》已收悉，现提出如下协办意见：</w:t>
      </w:r>
    </w:p>
    <w:p>
      <w:pPr>
        <w:keepNext w:val="0"/>
        <w:keepLines w:val="0"/>
        <w:pageBreakBefore w:val="0"/>
        <w:widowControl w:val="0"/>
        <w:kinsoku/>
        <w:wordWrap/>
        <w:overflowPunct/>
        <w:topLinePunct w:val="0"/>
        <w:autoSpaceDE/>
        <w:autoSpaceDN/>
        <w:bidi w:val="0"/>
        <w:adjustRightInd/>
        <w:snapToGrid w:val="0"/>
        <w:spacing w:line="552" w:lineRule="exact"/>
        <w:ind w:firstLine="64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（一）推进“中国制造2025” 慈溪行动</w:t>
      </w:r>
      <w:r>
        <w:rPr>
          <w:rFonts w:hint="eastAsia" w:ascii="仿宋_GB2312" w:hAnsi="仿宋_GB2312" w:eastAsia="仿宋_GB2312" w:cs="仿宋_GB2312"/>
          <w:b/>
          <w:sz w:val="32"/>
          <w:szCs w:val="32"/>
          <w:lang w:eastAsia="zh-CN"/>
        </w:rPr>
        <w:t>和智能制造</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一是推进“</w:t>
      </w:r>
      <w:r>
        <w:rPr>
          <w:rFonts w:hint="eastAsia" w:ascii="仿宋_GB2312" w:hAnsi="仿宋_GB2312" w:eastAsia="仿宋_GB2312" w:cs="仿宋_GB2312"/>
          <w:b/>
          <w:sz w:val="32"/>
          <w:szCs w:val="32"/>
        </w:rPr>
        <w:t>中国制造2025</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去年自8月开始，连续5个月将“中国制造2025”建设工作进展情况在市政府月度交流会上交流，2018年，慈溪市政府共8次专题研究部署“中国制造2025”试点示范建设。对照2018宁波市推进“中国制造2025”试点示范城市建设工作考核细则，强化目标任务分解及进展跟踪分析，并出台2018年度“中国制造2025”工作专项考核办法。</w:t>
      </w:r>
      <w:r>
        <w:rPr>
          <w:rFonts w:hint="eastAsia" w:ascii="仿宋_GB2312" w:hAnsi="仿宋_GB2312" w:eastAsia="仿宋_GB2312" w:cs="仿宋_GB2312"/>
          <w:b/>
          <w:sz w:val="32"/>
          <w:szCs w:val="32"/>
          <w:lang w:eastAsia="zh-CN"/>
        </w:rPr>
        <w:t>二是全面推进</w:t>
      </w:r>
      <w:r>
        <w:rPr>
          <w:rFonts w:hint="eastAsia" w:ascii="仿宋_GB2312" w:hAnsi="仿宋_GB2312" w:eastAsia="仿宋_GB2312" w:cs="仿宋_GB2312"/>
          <w:b/>
          <w:sz w:val="32"/>
          <w:szCs w:val="32"/>
        </w:rPr>
        <w:t>智能</w:t>
      </w:r>
      <w:r>
        <w:rPr>
          <w:rFonts w:hint="eastAsia" w:ascii="仿宋_GB2312" w:hAnsi="仿宋_GB2312" w:eastAsia="仿宋_GB2312" w:cs="仿宋_GB2312"/>
          <w:b/>
          <w:sz w:val="32"/>
          <w:szCs w:val="32"/>
          <w:lang w:eastAsia="zh-CN"/>
        </w:rPr>
        <w:t>制造</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出台《慈溪智能经济发展规划（2018—2022）》（慈政办发〔2018〕61号）、《慈溪市智能经济行动计划（2018—2020）》（慈政办发〔2018〕62号），明确了我市重点发展的智能经济核心产业及发展路径。推进周巷小家电行业装配自动化、龙山不粘锅行业工业机器人改造、横河轴承行业数字化区域试点改造。举办2018世界慈商大会智能制造高峰论坛，推动慈星股份公司牵头打造环杭州湾智能产业创新服务中心建设，对接引进山东万腾、腾能智能、启谱自动化、浙大联科等高端智能化团队落户我市，引进和利时集团共建智能制造示范基地。累计培育智能制造服务公司42家，其中宁波市级7家。新树立浙江长华、公牛电器等8家智能制造示范企业。列入宁波市级智能装备成套示范项目2个，数字化示范车间项目1个，大规模个性化定制项目2个。今年将启动新一轮工业企业智能化诊断和智能制造改造“两个全覆盖”，其中今年新实施100项智能制造重点项目，完成450家规上企业智能化改造诊断。</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sz w:val="32"/>
          <w:szCs w:val="32"/>
        </w:rPr>
        <w:t>推进制造业改造提升。</w:t>
      </w:r>
      <w:r>
        <w:rPr>
          <w:rFonts w:hint="eastAsia" w:ascii="仿宋_GB2312" w:hAnsi="仿宋_GB2312" w:eastAsia="仿宋_GB2312" w:cs="仿宋_GB2312"/>
          <w:sz w:val="32"/>
          <w:szCs w:val="32"/>
        </w:rPr>
        <w:t>出台《慈溪市全面改造提升传统制造业实施方案（2018—2020年）》（慈政办发〔2018〕63号），编制慈溪市家电产业改造提升省级试点实施方案（2018-2022年）、慈溪市化纤制造业改造提升行动计划（2018-2020年），重点推进省级特色小镇慈溪小家电智造小镇建设，建成浙江大学3D创新设计研究院、慈溪智能家电创新中心、深圳创新研究设计院慈溪分院等重点平台，我市家用电器制造业列入第二批传统制造业改造提升分行业省级试点。</w:t>
      </w:r>
    </w:p>
    <w:p>
      <w:pPr>
        <w:keepNext w:val="0"/>
        <w:keepLines w:val="0"/>
        <w:pageBreakBefore w:val="0"/>
        <w:widowControl w:val="0"/>
        <w:kinsoku/>
        <w:wordWrap/>
        <w:overflowPunct/>
        <w:topLinePunct w:val="0"/>
        <w:autoSpaceDE/>
        <w:autoSpaceDN/>
        <w:bidi w:val="0"/>
        <w:adjustRightInd/>
        <w:spacing w:line="552" w:lineRule="exact"/>
        <w:ind w:firstLine="66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）融合品牌经营互联网化。</w:t>
      </w:r>
      <w:r>
        <w:rPr>
          <w:rFonts w:hint="eastAsia" w:ascii="仿宋_GB2312" w:hAnsi="仿宋_GB2312" w:eastAsia="仿宋_GB2312" w:cs="仿宋_GB2312"/>
          <w:b/>
          <w:bCs/>
          <w:sz w:val="32"/>
          <w:szCs w:val="32"/>
          <w:lang w:eastAsia="zh-CN"/>
        </w:rPr>
        <w:t>一是支持优势产业网上销售。</w:t>
      </w:r>
      <w:r>
        <w:rPr>
          <w:rFonts w:hint="eastAsia" w:ascii="仿宋_GB2312" w:hAnsi="仿宋_GB2312" w:eastAsia="仿宋_GB2312" w:cs="仿宋_GB2312"/>
          <w:sz w:val="32"/>
          <w:szCs w:val="32"/>
        </w:rPr>
        <w:t>建立ICX慈溪家电产业互联网平台，开展线上线下一体化体验平台建设，强化产品互联网化服务中心、销售互联网化服务中心、人才培训和实训中心、服务资源生态圈建设。目前，慈溪家电馆已与全球46个电商平台进行合作，进驻的家电品牌达82家，其中慈溪家电品牌达到了69个，覆盖大小家电产品SKU数近六百个，2017年销售1.7亿元，连续两年销售超亿元。</w:t>
      </w:r>
      <w:r>
        <w:rPr>
          <w:rFonts w:hint="eastAsia" w:ascii="仿宋_GB2312" w:hAnsi="仿宋_GB2312" w:eastAsia="仿宋_GB2312" w:cs="仿宋_GB2312"/>
          <w:b/>
          <w:bCs/>
          <w:sz w:val="32"/>
          <w:szCs w:val="32"/>
          <w:lang w:eastAsia="zh-CN"/>
        </w:rPr>
        <w:t>二是开展个性化定制服务。</w:t>
      </w:r>
      <w:r>
        <w:rPr>
          <w:rFonts w:hint="eastAsia" w:ascii="仿宋_GB2312" w:hAnsi="仿宋_GB2312" w:eastAsia="仿宋_GB2312" w:cs="仿宋_GB2312"/>
          <w:sz w:val="32"/>
          <w:szCs w:val="32"/>
        </w:rPr>
        <w:t>面向服装、鞋帽、丝织品行业复制推广个性化定制、工业化生产全流程解决方案，建设全国领先的毛衫个性化定制云服务平台，打造基于个性化定制的C2M（顾客对工厂）商业生态，推动传统制造方式向柔性制造、敏捷制造转型升级。公司已搭建了PC端及手机APP的平台运作架构，建成了制鞋和毛衣智能工厂，组建了近400人的专业人员队伍， 2017年，实现自主平台销售额达2000多万元。</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bCs/>
          <w:sz w:val="32"/>
          <w:szCs w:val="32"/>
        </w:rPr>
        <w:t>加强提升产品物联网化，</w:t>
      </w:r>
      <w:r>
        <w:rPr>
          <w:rFonts w:hint="eastAsia" w:ascii="仿宋_GB2312" w:hAnsi="仿宋_GB2312" w:eastAsia="仿宋_GB2312" w:cs="仿宋_GB2312"/>
          <w:sz w:val="32"/>
          <w:szCs w:val="32"/>
        </w:rPr>
        <w:t>利用信息技术进行产品赋能。出台政策扶持万物互联，成为宁波地区唯一连续两年对智能模组进行补助的县市区。鼓励企业与涂鸦科技、阿里巴巴、中移物联等国内龙头物联网企业的合作，对智能模组采购在2000套以上并已进行生产和一定的销售的企业，给予不超过50万元补助。同时，推进龙头企业加强与国内互联网龙头企业合作，开展共建，给予不超过100万元的奖励。目前，已有2家企业与小米开展生态链合作，多家企业产品入驻网易严选等高端平台。</w:t>
      </w:r>
      <w:r>
        <w:rPr>
          <w:rFonts w:hint="eastAsia" w:ascii="仿宋_GB2312" w:hAnsi="仿宋_GB2312" w:eastAsia="仿宋_GB2312" w:cs="仿宋_GB2312"/>
          <w:b/>
          <w:bCs/>
          <w:sz w:val="32"/>
          <w:szCs w:val="32"/>
          <w:lang w:eastAsia="zh-CN"/>
        </w:rPr>
        <w:t>四是加强产业平台建设。</w:t>
      </w:r>
      <w:r>
        <w:rPr>
          <w:rFonts w:hint="eastAsia" w:ascii="仿宋_GB2312" w:hAnsi="仿宋_GB2312" w:eastAsia="仿宋_GB2312" w:cs="仿宋_GB2312"/>
          <w:sz w:val="32"/>
          <w:szCs w:val="32"/>
        </w:rPr>
        <w:t>同时全国首创“众车联”、“众模联”、“魔蛋”三个平台，站在互联网、大数据、人工智能风口，赋能家电、机械基础件、汽车零部件、轻纺化纤四大重点传统产业集群，探索出了“众车联”全产业链、“众模联”产业升级、家电智能嫁接等多种版本。</w:t>
      </w:r>
      <w:r>
        <w:rPr>
          <w:rFonts w:hint="eastAsia" w:ascii="仿宋_GB2312" w:hAnsi="仿宋_GB2312" w:eastAsia="仿宋_GB2312" w:cs="仿宋_GB2312"/>
          <w:b/>
          <w:sz w:val="32"/>
          <w:szCs w:val="32"/>
        </w:rPr>
        <w:t>“众车联”</w:t>
      </w:r>
      <w:r>
        <w:rPr>
          <w:rFonts w:hint="eastAsia" w:ascii="仿宋_GB2312" w:hAnsi="仿宋_GB2312" w:eastAsia="仿宋_GB2312" w:cs="仿宋_GB2312"/>
          <w:sz w:val="32"/>
          <w:szCs w:val="32"/>
        </w:rPr>
        <w:t>平台集云集采、供应链金融、云物流、大数据、智能制造等于一体，以“特色产业链+互联网+金融资本”为核心路径，以产业龙头支撑，集聚汽配上下游产业资源。平台已于今年6月9日上线，上半年实现平台交易额5.8亿元，截至12月10日，已达到46亿元。</w:t>
      </w:r>
      <w:r>
        <w:rPr>
          <w:rFonts w:hint="eastAsia" w:ascii="仿宋_GB2312" w:hAnsi="仿宋_GB2312" w:eastAsia="仿宋_GB2312" w:cs="仿宋_GB2312"/>
          <w:b/>
          <w:sz w:val="32"/>
          <w:szCs w:val="32"/>
        </w:rPr>
        <w:t>“魔蛋”</w:t>
      </w:r>
      <w:r>
        <w:rPr>
          <w:rFonts w:hint="eastAsia" w:ascii="仿宋_GB2312" w:hAnsi="仿宋_GB2312" w:eastAsia="仿宋_GB2312" w:cs="仿宋_GB2312"/>
          <w:sz w:val="32"/>
          <w:szCs w:val="32"/>
        </w:rPr>
        <w:t>平台精准把握家电产业“智能物联、数据驱动”开放共享发展方向，利用平台“一芯（线路板）、一键（场景化操作）、一链（慈溪家电产业）”功能，引导小微企业抱团发展。目前，该平台已有50多家国内家电企业入驻。</w:t>
      </w:r>
      <w:r>
        <w:rPr>
          <w:rFonts w:hint="eastAsia" w:ascii="仿宋_GB2312" w:hAnsi="仿宋_GB2312" w:eastAsia="仿宋_GB2312" w:cs="仿宋_GB2312"/>
          <w:b/>
          <w:sz w:val="32"/>
          <w:szCs w:val="32"/>
        </w:rPr>
        <w:t>“众模联”</w:t>
      </w:r>
      <w:r>
        <w:rPr>
          <w:rFonts w:hint="eastAsia" w:ascii="仿宋_GB2312" w:hAnsi="仿宋_GB2312" w:eastAsia="仿宋_GB2312" w:cs="仿宋_GB2312"/>
          <w:sz w:val="32"/>
          <w:szCs w:val="32"/>
        </w:rPr>
        <w:t>平台以建立汽车及模具产业链设计制造协同共享为定位，其全国首创性在于开放式的内网+外网协同共享，实现多个企业共享云服务、生产设备、工厂生产线、办公空间、工人等资源，实现订单共享，协同研发，协同生产。</w:t>
      </w:r>
    </w:p>
    <w:p>
      <w:pPr>
        <w:keepNext w:val="0"/>
        <w:keepLines w:val="0"/>
        <w:pageBreakBefore w:val="0"/>
        <w:widowControl w:val="0"/>
        <w:kinsoku/>
        <w:wordWrap/>
        <w:overflowPunct/>
        <w:topLinePunct w:val="0"/>
        <w:autoSpaceDE/>
        <w:autoSpaceDN/>
        <w:bidi w:val="0"/>
        <w:adjustRightInd/>
        <w:snapToGrid w:val="0"/>
        <w:spacing w:line="552"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）推进企业梯队培育。</w:t>
      </w:r>
      <w:r>
        <w:rPr>
          <w:rFonts w:hint="eastAsia" w:ascii="仿宋_GB2312" w:hAnsi="仿宋_GB2312" w:eastAsia="仿宋_GB2312" w:cs="仿宋_GB2312"/>
          <w:b/>
          <w:sz w:val="32"/>
          <w:szCs w:val="32"/>
          <w:lang w:eastAsia="zh-CN"/>
        </w:rPr>
        <w:t>一是提升企业人员素质。</w:t>
      </w:r>
      <w:r>
        <w:rPr>
          <w:rFonts w:hint="eastAsia" w:ascii="仿宋_GB2312" w:hAnsi="仿宋_GB2312" w:eastAsia="仿宋_GB2312" w:cs="仿宋_GB2312"/>
          <w:sz w:val="32"/>
          <w:szCs w:val="32"/>
        </w:rPr>
        <w:t>组织举办企业管理素质提升培训班26期，培训各类相关人才共1909名，管理咨询立项企业23家。</w:t>
      </w:r>
      <w:r>
        <w:rPr>
          <w:rFonts w:hint="eastAsia" w:ascii="仿宋_GB2312" w:hAnsi="仿宋_GB2312" w:eastAsia="仿宋_GB2312" w:cs="仿宋_GB2312"/>
          <w:b/>
          <w:sz w:val="32"/>
          <w:szCs w:val="32"/>
          <w:lang w:eastAsia="zh-CN"/>
        </w:rPr>
        <w:t>二是建立企业培育体系。</w:t>
      </w:r>
      <w:r>
        <w:rPr>
          <w:rFonts w:hint="eastAsia" w:ascii="仿宋_GB2312" w:hAnsi="仿宋_GB2312" w:eastAsia="仿宋_GB2312" w:cs="仿宋_GB2312"/>
          <w:sz w:val="32"/>
          <w:szCs w:val="32"/>
        </w:rPr>
        <w:t>初步建立起千亿级龙头、行业骨干、高成长企业和专精特新企业四级培育体系，营业收入百亿元企业实现零的突破。天行电器获2018年省创新型示范中小企业称号，海仕凯、祈禧电器获宁波创新型示范中小企业称号。公牛集团、浙江长华2家企业列入宁波纳税50强。11家宁波市行业骨干企业、7家宁波市高成长企业分别有4家、5家通过年度考核。完成股份制改造10家，甬股交中心挂牌54家，兴瑞电子在中小板上市，公牛集团有限公司列入宁波市千亿级龙头企业培育企业并提交IPO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开展</w:t>
      </w:r>
      <w:r>
        <w:rPr>
          <w:rFonts w:hint="eastAsia" w:ascii="仿宋_GB2312" w:hAnsi="仿宋_GB2312" w:eastAsia="仿宋_GB2312" w:cs="仿宋_GB2312"/>
          <w:sz w:val="32"/>
          <w:szCs w:val="32"/>
        </w:rPr>
        <w:t>宁波市工业行业龙头骨干企业评选、百强、成长潜力型企业评选等工作，2019年继续开展</w:t>
      </w:r>
      <w:r>
        <w:rPr>
          <w:rFonts w:hint="eastAsia" w:ascii="仿宋_GB2312" w:hAnsi="仿宋_GB2312" w:eastAsia="仿宋_GB2312" w:cs="仿宋_GB2312"/>
          <w:kern w:val="0"/>
          <w:sz w:val="32"/>
          <w:szCs w:val="32"/>
        </w:rPr>
        <w:t>百强企业、千亿级企业</w:t>
      </w:r>
      <w:r>
        <w:rPr>
          <w:rFonts w:hint="eastAsia" w:ascii="仿宋_GB2312" w:hAnsi="仿宋_GB2312" w:eastAsia="仿宋_GB2312" w:cs="仿宋_GB2312"/>
          <w:sz w:val="32"/>
          <w:szCs w:val="32"/>
        </w:rPr>
        <w:t>等评选工作，并对企业上市、企业梯队培育、联合兼并、企业提档升级、创新型企业培育等方面加大政策奖励力度。</w:t>
      </w:r>
      <w:r>
        <w:rPr>
          <w:rFonts w:hint="eastAsia" w:ascii="仿宋_GB2312" w:hAnsi="仿宋_GB2312" w:eastAsia="仿宋_GB2312" w:cs="仿宋_GB2312"/>
          <w:b/>
          <w:sz w:val="32"/>
          <w:szCs w:val="32"/>
          <w:lang w:eastAsia="zh-CN"/>
        </w:rPr>
        <w:t>三是</w:t>
      </w:r>
      <w:r>
        <w:rPr>
          <w:rFonts w:hint="eastAsia" w:ascii="仿宋_GB2312" w:hAnsi="仿宋_GB2312" w:eastAsia="仿宋_GB2312" w:cs="仿宋_GB2312"/>
          <w:b/>
          <w:sz w:val="32"/>
          <w:szCs w:val="32"/>
        </w:rPr>
        <w:t>促进资源要素向优质企业流动。</w:t>
      </w:r>
      <w:r>
        <w:rPr>
          <w:rFonts w:hint="eastAsia" w:ascii="仿宋_GB2312" w:hAnsi="仿宋_GB2312" w:eastAsia="仿宋_GB2312" w:cs="仿宋_GB2312"/>
          <w:sz w:val="32"/>
          <w:szCs w:val="32"/>
        </w:rPr>
        <w:t>深化“亩均论英雄”改革，对百强、三名企业、拥有市级以上研究中心企业的优势企业给予加分或升档、保档等保护措施；同时开展制造业低效企业分类帮扶专项行动和“低散乱”整治，腾出低效起源，促进资源向优势企业流动。</w:t>
      </w:r>
    </w:p>
    <w:p>
      <w:pPr>
        <w:keepNext w:val="0"/>
        <w:keepLines w:val="0"/>
        <w:pageBreakBefore w:val="0"/>
        <w:widowControl w:val="0"/>
        <w:kinsoku/>
        <w:wordWrap/>
        <w:overflowPunct/>
        <w:topLinePunct w:val="0"/>
        <w:autoSpaceDE/>
        <w:autoSpaceDN/>
        <w:bidi w:val="0"/>
        <w:adjustRightInd/>
        <w:spacing w:line="552" w:lineRule="exact"/>
        <w:ind w:firstLine="482"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）借助协会提高知名度。</w:t>
      </w:r>
      <w:r>
        <w:rPr>
          <w:rFonts w:hint="eastAsia" w:ascii="仿宋_GB2312" w:hAnsi="仿宋_GB2312" w:eastAsia="仿宋_GB2312" w:cs="仿宋_GB2312"/>
          <w:sz w:val="32"/>
          <w:szCs w:val="32"/>
        </w:rPr>
        <w:t>我市协会积极组织申报全国、区域品牌，加大品牌推广力度，有力的提高了行业知名度。我市先后获得了“中国打火机之都”、“中国毛绒名城”、“中国密封产业集群示范基地”、“ 中国电源插座产业基地”、“ 中国钓具生产基地”、 “中国家电下乡示范城市”等荣誉称号。</w:t>
      </w:r>
    </w:p>
    <w:p>
      <w:pPr>
        <w:keepNext w:val="0"/>
        <w:keepLines w:val="0"/>
        <w:pageBreakBefore w:val="0"/>
        <w:widowControl w:val="0"/>
        <w:numPr>
          <w:ilvl w:val="0"/>
          <w:numId w:val="0"/>
        </w:numPr>
        <w:kinsoku/>
        <w:wordWrap/>
        <w:overflowPunct/>
        <w:topLinePunct w:val="0"/>
        <w:autoSpaceDE/>
        <w:autoSpaceDN/>
        <w:bidi w:val="0"/>
        <w:adjustRightInd/>
        <w:snapToGrid/>
        <w:spacing w:line="552"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52"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2"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2"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2"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2"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慈溪市经济和信息化局</w:t>
      </w:r>
    </w:p>
    <w:p>
      <w:pPr>
        <w:keepNext w:val="0"/>
        <w:keepLines w:val="0"/>
        <w:pageBreakBefore w:val="0"/>
        <w:widowControl w:val="0"/>
        <w:numPr>
          <w:ilvl w:val="0"/>
          <w:numId w:val="0"/>
        </w:numPr>
        <w:kinsoku/>
        <w:wordWrap/>
        <w:overflowPunct/>
        <w:topLinePunct w:val="0"/>
        <w:autoSpaceDE/>
        <w:autoSpaceDN/>
        <w:bidi w:val="0"/>
        <w:adjustRightInd/>
        <w:snapToGrid/>
        <w:spacing w:line="552"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2019年4月23日</w:t>
      </w:r>
    </w:p>
    <w:p>
      <w:pPr>
        <w:keepNext w:val="0"/>
        <w:keepLines w:val="0"/>
        <w:pageBreakBefore w:val="0"/>
        <w:widowControl w:val="0"/>
        <w:numPr>
          <w:ilvl w:val="0"/>
          <w:numId w:val="0"/>
        </w:numPr>
        <w:kinsoku/>
        <w:wordWrap/>
        <w:overflowPunct/>
        <w:topLinePunct w:val="0"/>
        <w:autoSpaceDE/>
        <w:autoSpaceDN/>
        <w:bidi w:val="0"/>
        <w:adjustRightInd/>
        <w:snapToGrid/>
        <w:spacing w:line="552"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2"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人：张玲玲</w:t>
      </w:r>
    </w:p>
    <w:p>
      <w:pPr>
        <w:keepNext w:val="0"/>
        <w:keepLines w:val="0"/>
        <w:pageBreakBefore w:val="0"/>
        <w:widowControl w:val="0"/>
        <w:tabs>
          <w:tab w:val="left" w:pos="7560"/>
        </w:tabs>
        <w:kinsoku/>
        <w:wordWrap/>
        <w:overflowPunct/>
        <w:topLinePunct w:val="0"/>
        <w:autoSpaceDE/>
        <w:autoSpaceDN/>
        <w:bidi w:val="0"/>
        <w:adjustRightInd/>
        <w:snapToGrid/>
        <w:spacing w:line="552" w:lineRule="exact"/>
        <w:ind w:firstLine="640" w:firstLineChars="2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sz w:val="32"/>
          <w:szCs w:val="32"/>
          <w:lang w:val="en-US" w:eastAsia="zh-CN"/>
        </w:rPr>
        <w:t xml:space="preserve">联系方式：63813127/13566071570                  </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C1725"/>
    <w:rsid w:val="228C1725"/>
    <w:rsid w:val="45D45AA3"/>
    <w:rsid w:val="4CD12B0B"/>
    <w:rsid w:val="62A00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endnote text"/>
    <w:basedOn w:val="1"/>
    <w:uiPriority w:val="0"/>
    <w:pPr>
      <w:spacing w:beforeLines="0" w:afterLines="0"/>
    </w:pPr>
    <w:rPr>
      <w:rFonts w:hint="default"/>
      <w:sz w:val="21"/>
    </w:rPr>
  </w:style>
  <w:style w:type="paragraph" w:styleId="3">
    <w:name w:val="footer"/>
    <w:basedOn w:val="1"/>
    <w:uiPriority w:val="0"/>
    <w:pPr>
      <w:tabs>
        <w:tab w:val="center" w:pos="4153"/>
        <w:tab w:val="right" w:pos="8306"/>
      </w:tabs>
      <w:snapToGrid w:val="0"/>
      <w:jc w:val="left"/>
    </w:pPr>
    <w:rPr>
      <w:sz w:val="18"/>
      <w:szCs w:val="20"/>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2019-04-19T07:16:00Z</dcterms:created>
  <dc:creator>唐见月</dc:creator>
  <cp:lastModifiedBy>唐见月</cp:lastModifiedBy>
  <dcterms:modified xsi:type="dcterms:W3CDTF">2019-04-25T03:43:03Z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