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eastAsia="黑体"/>
          <w:sz w:val="32"/>
        </w:rPr>
      </w:pPr>
      <w:r>
        <w:rPr>
          <w:rFonts w:eastAsia="黑体"/>
          <w:sz w:val="32"/>
        </w:rPr>
        <w:t>类别号标记：A</w:t>
      </w:r>
    </w:p>
    <w:p>
      <w:pPr>
        <w:spacing w:line="1000" w:lineRule="exact"/>
        <w:jc w:val="center"/>
        <w:rPr>
          <w:rFonts w:hint="eastAsia" w:ascii="华文中宋" w:hAnsi="华文中宋" w:eastAsia="华文中宋"/>
          <w:b/>
          <w:bCs/>
          <w:snapToGrid w:val="0"/>
          <w:color w:val="FF0000"/>
          <w:spacing w:val="160"/>
          <w:w w:val="90"/>
          <w:kern w:val="0"/>
          <w:sz w:val="96"/>
          <w:szCs w:val="96"/>
        </w:rPr>
      </w:pPr>
    </w:p>
    <w:p>
      <w:pPr>
        <w:spacing w:line="1000" w:lineRule="exact"/>
        <w:jc w:val="center"/>
        <w:rPr>
          <w:rFonts w:eastAsia="仿宋_GB2312"/>
          <w:sz w:val="32"/>
        </w:rPr>
      </w:pPr>
      <w:r>
        <w:rPr>
          <w:rFonts w:hint="eastAsia" w:ascii="华文中宋" w:hAnsi="华文中宋" w:eastAsia="华文中宋"/>
          <w:b/>
          <w:bCs/>
          <w:snapToGrid w:val="0"/>
          <w:color w:val="FF0000"/>
          <w:spacing w:val="160"/>
          <w:w w:val="90"/>
          <w:kern w:val="0"/>
          <w:sz w:val="96"/>
          <w:szCs w:val="96"/>
        </w:rPr>
        <w:t>慈溪市人民法院</w:t>
      </w:r>
    </w:p>
    <w:p>
      <w:pPr>
        <w:spacing w:line="560" w:lineRule="exact"/>
        <w:rPr>
          <w:rFonts w:hint="eastAsia" w:ascii="仿宋_GB2312" w:eastAsia="仿宋_GB2312"/>
          <w:sz w:val="32"/>
        </w:rPr>
      </w:pPr>
    </w:p>
    <w:p>
      <w:pPr>
        <w:spacing w:line="560" w:lineRule="exact"/>
        <w:ind w:firstLine="320" w:firstLineChars="100"/>
        <w:rPr>
          <w:rFonts w:eastAsia="仿宋_GB2312"/>
          <w:sz w:val="32"/>
        </w:rPr>
      </w:pPr>
      <w:bookmarkStart w:id="0" w:name="_GoBack"/>
      <w:r>
        <w:rPr>
          <w:rFonts w:hint="eastAsia" w:ascii="仿宋_GB2312" w:eastAsia="仿宋_GB2312"/>
          <w:sz w:val="32"/>
        </w:rPr>
        <mc:AlternateContent>
          <mc:Choice Requires="wps">
            <w:drawing>
              <wp:anchor distT="0" distB="0" distL="114300" distR="114300" simplePos="0" relativeHeight="251659264" behindDoc="0" locked="0" layoutInCell="1" allowOverlap="1">
                <wp:simplePos x="0" y="0"/>
                <wp:positionH relativeFrom="column">
                  <wp:posOffset>-135255</wp:posOffset>
                </wp:positionH>
                <wp:positionV relativeFrom="paragraph">
                  <wp:posOffset>474345</wp:posOffset>
                </wp:positionV>
                <wp:extent cx="5511165" cy="50800"/>
                <wp:effectExtent l="0" t="28575" r="13335" b="34925"/>
                <wp:wrapNone/>
                <wp:docPr id="1" name="直接连接符 1"/>
                <wp:cNvGraphicFramePr/>
                <a:graphic xmlns:a="http://schemas.openxmlformats.org/drawingml/2006/main">
                  <a:graphicData uri="http://schemas.microsoft.com/office/word/2010/wordprocessingShape">
                    <wps:wsp>
                      <wps:cNvCnPr/>
                      <wps:spPr>
                        <a:xfrm>
                          <a:off x="0" y="0"/>
                          <a:ext cx="5511165" cy="50800"/>
                        </a:xfrm>
                        <a:prstGeom prst="line">
                          <a:avLst/>
                        </a:prstGeom>
                        <a:ln w="571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65pt;margin-top:37.35pt;height:4pt;width:433.95pt;z-index:251659264;mso-width-relative:page;mso-height-relative:page;" filled="f" stroked="t" coordsize="21600,21600" o:gfxdata="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1MsT9cAAAAJAQAA&#10;DwAAAAAAAAABACAAAAAiAAAAZHJzL2Rvd25yZXYueG1sUEsBAhQAFAAAAAgAh07iQGJdy8rhAQAA&#10;mwMAAA4AAAAAAAAAAQAgAAAAJgEAAGRycy9lMm9Eb2MueG1sUEsFBgAAAAAGAAYAWQEAAHkFAAAA&#10;AA==&#10;">
                <v:fill on="f" focussize="0,0"/>
                <v:stroke weight="4.5pt" color="#FF0000" joinstyle="round"/>
                <v:imagedata o:title=""/>
                <o:lock v:ext="edit" aspectratio="f"/>
              </v:line>
            </w:pict>
          </mc:Fallback>
        </mc:AlternateContent>
      </w:r>
      <w:bookmarkEnd w:id="0"/>
      <w:r>
        <w:rPr>
          <w:rFonts w:hint="eastAsia" w:ascii="仿宋_GB2312" w:eastAsia="仿宋_GB2312"/>
          <w:sz w:val="32"/>
        </w:rPr>
        <w:t>慈法建〔</w:t>
      </w:r>
      <w:r>
        <w:rPr>
          <w:rFonts w:hint="eastAsia" w:ascii="仿宋_GB2312" w:eastAsia="仿宋_GB2312"/>
          <w:sz w:val="32"/>
          <w:lang w:val="en-US" w:eastAsia="zh-CN"/>
        </w:rPr>
        <w:t>2021</w:t>
      </w:r>
      <w:r>
        <w:rPr>
          <w:rFonts w:hint="eastAsia" w:ascii="仿宋_GB2312" w:eastAsia="仿宋_GB2312"/>
          <w:sz w:val="32"/>
        </w:rPr>
        <w:t xml:space="preserve">〕1 号　　 　　     </w:t>
      </w:r>
      <w:r>
        <w:rPr>
          <w:rFonts w:hint="eastAsia" w:ascii="仿宋_GB2312" w:eastAsia="仿宋_GB2312"/>
          <w:sz w:val="32"/>
          <w:lang w:val="en-US" w:eastAsia="zh-CN"/>
        </w:rPr>
        <w:t xml:space="preserve">   </w:t>
      </w:r>
      <w:r>
        <w:rPr>
          <w:rFonts w:hint="eastAsia" w:ascii="仿宋_GB2312" w:eastAsia="仿宋_GB2312"/>
          <w:sz w:val="32"/>
        </w:rPr>
        <w:t>签发人：孙央平</w:t>
      </w:r>
    </w:p>
    <w:p>
      <w:pPr>
        <w:spacing w:line="500" w:lineRule="exact"/>
        <w:jc w:val="left"/>
        <w:rPr>
          <w:rFonts w:eastAsia="仿宋_GB2312"/>
          <w:sz w:val="32"/>
        </w:rPr>
      </w:pPr>
      <w:r>
        <w:rPr>
          <w:rFonts w:hint="eastAsia" w:ascii="仿宋_GB2312" w:eastAsia="仿宋_GB2312"/>
          <w:sz w:val="32"/>
        </w:rPr>
        <w:t>　</w:t>
      </w:r>
    </w:p>
    <w:p>
      <w:pPr>
        <w:spacing w:line="460" w:lineRule="atLeast"/>
        <w:jc w:val="center"/>
        <w:rPr>
          <w:rFonts w:hint="eastAsia" w:ascii="方正小标宋简体" w:eastAsia="方正小标宋简体"/>
          <w:sz w:val="36"/>
        </w:rPr>
      </w:pPr>
      <w:r>
        <w:rPr>
          <w:rFonts w:hint="eastAsia" w:ascii="方正小标宋简体" w:eastAsia="方正小标宋简体"/>
          <w:sz w:val="36"/>
        </w:rPr>
        <w:t>对十七届人大五次会议第287号建议的答复</w:t>
      </w:r>
    </w:p>
    <w:p>
      <w:pPr>
        <w:spacing w:line="560" w:lineRule="exact"/>
        <w:jc w:val="center"/>
        <w:rPr>
          <w:rFonts w:eastAsia="华文中宋"/>
          <w:b/>
          <w:bCs/>
          <w:sz w:val="36"/>
        </w:rPr>
      </w:pPr>
    </w:p>
    <w:p>
      <w:pPr>
        <w:spacing w:line="560" w:lineRule="exact"/>
        <w:rPr>
          <w:rFonts w:eastAsia="仿宋_GB2312"/>
          <w:sz w:val="32"/>
          <w:szCs w:val="32"/>
        </w:rPr>
      </w:pPr>
      <w:r>
        <w:rPr>
          <w:rFonts w:eastAsia="仿宋_GB2312"/>
          <w:sz w:val="32"/>
          <w:szCs w:val="32"/>
        </w:rPr>
        <w:t>罗国明代表：</w:t>
      </w:r>
    </w:p>
    <w:p>
      <w:pPr>
        <w:spacing w:line="560" w:lineRule="exact"/>
        <w:ind w:firstLine="640" w:firstLineChars="200"/>
        <w:rPr>
          <w:rFonts w:eastAsia="仿宋_GB2312"/>
          <w:sz w:val="32"/>
          <w:szCs w:val="32"/>
        </w:rPr>
      </w:pPr>
      <w:r>
        <w:rPr>
          <w:rFonts w:eastAsia="仿宋_GB2312"/>
          <w:sz w:val="32"/>
          <w:szCs w:val="32"/>
        </w:rPr>
        <w:t>你提出的“关于严厉打击逃废债行为，为实体经济发展保驾护航的建议”（第287号）收悉后，</w:t>
      </w:r>
      <w:r>
        <w:rPr>
          <w:rFonts w:eastAsia="仿宋_GB2312"/>
          <w:color w:val="000000"/>
          <w:sz w:val="32"/>
          <w:szCs w:val="32"/>
        </w:rPr>
        <w:t>我院第一时间明确了办理工作牵头部门和责任领导，强调了办理过程中的关键环节和期限要求，同时实时保持与协办单位间的沟通交流和信息互享，从而确保办理工作有序推进、扎实高效，办理结果针对性强、富有实效。</w:t>
      </w:r>
      <w:r>
        <w:rPr>
          <w:rFonts w:eastAsia="仿宋_GB2312"/>
          <w:sz w:val="32"/>
          <w:szCs w:val="32"/>
        </w:rPr>
        <w:t>现将有关情况答复如下：</w:t>
      </w:r>
    </w:p>
    <w:p>
      <w:pPr>
        <w:spacing w:line="560" w:lineRule="exact"/>
        <w:ind w:firstLine="640" w:firstLineChars="200"/>
        <w:rPr>
          <w:rFonts w:eastAsia="黑体"/>
          <w:sz w:val="32"/>
          <w:szCs w:val="32"/>
        </w:rPr>
      </w:pPr>
      <w:r>
        <w:rPr>
          <w:rFonts w:eastAsia="黑体"/>
          <w:sz w:val="32"/>
          <w:szCs w:val="32"/>
        </w:rPr>
        <w:t>一、打击逃废债</w:t>
      </w:r>
      <w:r>
        <w:rPr>
          <w:rFonts w:hint="eastAsia" w:eastAsia="黑体"/>
          <w:sz w:val="32"/>
          <w:szCs w:val="32"/>
        </w:rPr>
        <w:t>工作开展</w:t>
      </w:r>
      <w:r>
        <w:rPr>
          <w:rFonts w:eastAsia="黑体"/>
          <w:sz w:val="32"/>
          <w:szCs w:val="32"/>
        </w:rPr>
        <w:t>情况</w:t>
      </w:r>
    </w:p>
    <w:p>
      <w:pPr>
        <w:spacing w:line="560" w:lineRule="exact"/>
        <w:ind w:firstLine="640" w:firstLineChars="200"/>
        <w:rPr>
          <w:rFonts w:eastAsia="仿宋_GB2312"/>
          <w:color w:val="000000"/>
          <w:sz w:val="32"/>
          <w:szCs w:val="32"/>
        </w:rPr>
      </w:pPr>
      <w:r>
        <w:rPr>
          <w:rFonts w:eastAsia="仿宋_GB2312"/>
          <w:color w:val="000000"/>
          <w:sz w:val="32"/>
          <w:szCs w:val="32"/>
        </w:rPr>
        <w:t>近几年，为</w:t>
      </w:r>
      <w:r>
        <w:rPr>
          <w:rFonts w:hint="eastAsia" w:eastAsia="仿宋_GB2312"/>
          <w:color w:val="000000"/>
          <w:sz w:val="32"/>
          <w:szCs w:val="32"/>
        </w:rPr>
        <w:t>推动</w:t>
      </w:r>
      <w:r>
        <w:rPr>
          <w:rFonts w:eastAsia="仿宋_GB2312"/>
          <w:color w:val="000000"/>
          <w:sz w:val="32"/>
          <w:szCs w:val="32"/>
        </w:rPr>
        <w:t>慈溪经济高质量发展，持续优化本市营商环境，积极推进信用体系建设，市法院与各部门密切配合、履职担当、主动作为，</w:t>
      </w:r>
      <w:r>
        <w:rPr>
          <w:rFonts w:hint="eastAsia" w:eastAsia="仿宋_GB2312"/>
          <w:sz w:val="32"/>
          <w:szCs w:val="32"/>
        </w:rPr>
        <w:t>始终保持对逃废债行为的高压打击力度，</w:t>
      </w:r>
      <w:r>
        <w:rPr>
          <w:rFonts w:eastAsia="仿宋_GB2312"/>
          <w:sz w:val="32"/>
          <w:szCs w:val="32"/>
        </w:rPr>
        <w:t>将“追赃挽损”贯穿案件处理全过程</w:t>
      </w:r>
      <w:r>
        <w:rPr>
          <w:rFonts w:hint="eastAsia" w:eastAsia="仿宋_GB2312"/>
          <w:sz w:val="32"/>
          <w:szCs w:val="32"/>
        </w:rPr>
        <w:t>，</w:t>
      </w:r>
      <w:r>
        <w:rPr>
          <w:rFonts w:eastAsia="仿宋_GB2312"/>
          <w:color w:val="000000"/>
          <w:sz w:val="32"/>
          <w:szCs w:val="32"/>
        </w:rPr>
        <w:t>确保了全市经济社会大局持续平安稳定，</w:t>
      </w:r>
      <w:r>
        <w:rPr>
          <w:rFonts w:eastAsia="仿宋_GB2312"/>
          <w:sz w:val="32"/>
          <w:szCs w:val="32"/>
        </w:rPr>
        <w:t>护航了全市实体经济高质量发展。</w:t>
      </w:r>
    </w:p>
    <w:p>
      <w:pPr>
        <w:spacing w:line="560" w:lineRule="exact"/>
        <w:ind w:firstLine="643" w:firstLineChars="200"/>
        <w:rPr>
          <w:rFonts w:eastAsia="楷体"/>
          <w:b/>
          <w:bCs/>
          <w:sz w:val="32"/>
          <w:szCs w:val="32"/>
        </w:rPr>
      </w:pPr>
      <w:r>
        <w:rPr>
          <w:rFonts w:eastAsia="楷体"/>
          <w:b/>
          <w:bCs/>
          <w:sz w:val="32"/>
          <w:szCs w:val="32"/>
        </w:rPr>
        <w:t>（一）民事制裁靠前，刑事打击断后</w:t>
      </w:r>
    </w:p>
    <w:p>
      <w:pPr>
        <w:spacing w:line="560" w:lineRule="exact"/>
        <w:ind w:firstLine="640" w:firstLineChars="200"/>
        <w:rPr>
          <w:rFonts w:eastAsia="仿宋_GB2312"/>
          <w:sz w:val="32"/>
          <w:szCs w:val="32"/>
        </w:rPr>
      </w:pPr>
      <w:r>
        <w:rPr>
          <w:rFonts w:eastAsia="仿宋_GB2312"/>
          <w:bCs/>
          <w:sz w:val="32"/>
          <w:szCs w:val="32"/>
        </w:rPr>
        <w:t>市法院与市公安局、</w:t>
      </w:r>
      <w:r>
        <w:rPr>
          <w:rFonts w:eastAsia="仿宋_GB2312"/>
          <w:sz w:val="32"/>
          <w:szCs w:val="32"/>
        </w:rPr>
        <w:t>发改局、教育局等部门密切协作，将恶意逃废债的企业及企业负责人、实际经营者纳入失信被执行人名单并采取限制高消费等措施，让失信者一处失信，处处受限</w:t>
      </w:r>
      <w:r>
        <w:rPr>
          <w:rFonts w:hint="eastAsia" w:eastAsia="仿宋_GB2312"/>
          <w:sz w:val="32"/>
          <w:szCs w:val="32"/>
        </w:rPr>
        <w:t>；</w:t>
      </w:r>
      <w:r>
        <w:rPr>
          <w:rFonts w:eastAsia="仿宋_GB2312"/>
          <w:sz w:val="32"/>
          <w:szCs w:val="32"/>
        </w:rPr>
        <w:t>与市公安局、市检察院等单位沟通配合，对拒不履行生效裁判文书确定义务涉嫌犯罪的被执行人，依法移交公安侦查，加大对规避执行、抗拒执行、妨害执行行为的打击力度</w:t>
      </w:r>
      <w:r>
        <w:rPr>
          <w:rFonts w:hint="eastAsia" w:eastAsia="仿宋_GB2312"/>
          <w:sz w:val="32"/>
          <w:szCs w:val="32"/>
        </w:rPr>
        <w:t>；</w:t>
      </w:r>
      <w:r>
        <w:rPr>
          <w:rFonts w:eastAsia="仿宋_GB2312"/>
          <w:sz w:val="32"/>
          <w:szCs w:val="32"/>
        </w:rPr>
        <w:t>对</w:t>
      </w:r>
      <w:r>
        <w:rPr>
          <w:rFonts w:eastAsia="仿宋_GB2312"/>
          <w:bCs/>
          <w:sz w:val="32"/>
          <w:szCs w:val="32"/>
        </w:rPr>
        <w:t>逃废债的个人和企业在官网、官微、LED大屏幕、慈溪论坛等平台以及村</w:t>
      </w:r>
      <w:r>
        <w:rPr>
          <w:rFonts w:hint="eastAsia" w:eastAsia="仿宋_GB2312"/>
          <w:bCs/>
          <w:sz w:val="32"/>
          <w:szCs w:val="32"/>
        </w:rPr>
        <w:t>（社区）</w:t>
      </w:r>
      <w:r>
        <w:rPr>
          <w:rFonts w:eastAsia="仿宋_GB2312"/>
          <w:bCs/>
          <w:sz w:val="32"/>
          <w:szCs w:val="32"/>
        </w:rPr>
        <w:t>、镇</w:t>
      </w:r>
      <w:r>
        <w:rPr>
          <w:rFonts w:hint="eastAsia" w:eastAsia="仿宋_GB2312"/>
          <w:bCs/>
          <w:sz w:val="32"/>
          <w:szCs w:val="32"/>
        </w:rPr>
        <w:t>（街道）</w:t>
      </w:r>
      <w:r>
        <w:rPr>
          <w:rFonts w:eastAsia="仿宋_GB2312"/>
          <w:bCs/>
          <w:sz w:val="32"/>
          <w:szCs w:val="32"/>
        </w:rPr>
        <w:t>、司法所、农贸市场等场所进行曝光，</w:t>
      </w:r>
      <w:r>
        <w:rPr>
          <w:rFonts w:hint="eastAsia" w:eastAsia="仿宋_GB2312"/>
          <w:bCs/>
          <w:sz w:val="32"/>
          <w:szCs w:val="32"/>
        </w:rPr>
        <w:t>在全社会营造打击逃废债的舆论声势</w:t>
      </w:r>
      <w:r>
        <w:rPr>
          <w:rFonts w:eastAsia="仿宋_GB2312"/>
          <w:bCs/>
          <w:sz w:val="32"/>
          <w:szCs w:val="32"/>
        </w:rPr>
        <w:t>。</w:t>
      </w:r>
      <w:r>
        <w:rPr>
          <w:rFonts w:eastAsia="仿宋_GB2312"/>
          <w:sz w:val="32"/>
          <w:szCs w:val="32"/>
        </w:rPr>
        <w:t>2016年来，市法院共以骗取贷款罪追究刑事责任13件、35人次；以拒不执行判决、裁定罪追究刑事责任20件、23人次；对1280余名拒不执行、尚不够成犯罪的被执行人处以司法拘留。</w:t>
      </w:r>
    </w:p>
    <w:p>
      <w:pPr>
        <w:spacing w:line="560" w:lineRule="exact"/>
        <w:ind w:firstLine="643" w:firstLineChars="200"/>
        <w:rPr>
          <w:rFonts w:eastAsia="楷体"/>
          <w:b/>
          <w:bCs/>
          <w:sz w:val="32"/>
          <w:szCs w:val="32"/>
        </w:rPr>
      </w:pPr>
      <w:r>
        <w:rPr>
          <w:rFonts w:eastAsia="楷体"/>
          <w:b/>
          <w:bCs/>
          <w:sz w:val="32"/>
          <w:szCs w:val="32"/>
        </w:rPr>
        <w:t>（二）建立健全虚假诉讼甄别机制，突出源头治理</w:t>
      </w:r>
    </w:p>
    <w:p>
      <w:pPr>
        <w:spacing w:line="560" w:lineRule="exact"/>
        <w:ind w:firstLine="640" w:firstLineChars="200"/>
        <w:rPr>
          <w:rFonts w:eastAsia="仿宋_GB2312"/>
          <w:bCs/>
          <w:sz w:val="32"/>
          <w:szCs w:val="32"/>
        </w:rPr>
      </w:pPr>
      <w:r>
        <w:rPr>
          <w:rFonts w:eastAsia="仿宋_GB2312"/>
          <w:bCs/>
          <w:sz w:val="32"/>
          <w:szCs w:val="32"/>
        </w:rPr>
        <w:t>市法院</w:t>
      </w:r>
      <w:r>
        <w:rPr>
          <w:rFonts w:eastAsia="仿宋_GB2312"/>
          <w:sz w:val="32"/>
          <w:szCs w:val="32"/>
        </w:rPr>
        <w:t>针对虚假诉讼高发的特定领域，建立健全虚假诉讼甄别</w:t>
      </w:r>
      <w:r>
        <w:rPr>
          <w:rFonts w:hint="eastAsia" w:eastAsia="仿宋_GB2312"/>
          <w:sz w:val="32"/>
          <w:szCs w:val="32"/>
        </w:rPr>
        <w:t>、</w:t>
      </w:r>
      <w:r>
        <w:rPr>
          <w:rFonts w:eastAsia="仿宋_GB2312"/>
          <w:sz w:val="32"/>
          <w:szCs w:val="32"/>
        </w:rPr>
        <w:t>发现、移送</w:t>
      </w:r>
      <w:r>
        <w:rPr>
          <w:rFonts w:hint="eastAsia" w:eastAsia="仿宋_GB2312"/>
          <w:sz w:val="32"/>
          <w:szCs w:val="32"/>
        </w:rPr>
        <w:t>、</w:t>
      </w:r>
      <w:r>
        <w:rPr>
          <w:rFonts w:eastAsia="仿宋_GB2312"/>
          <w:sz w:val="32"/>
          <w:szCs w:val="32"/>
        </w:rPr>
        <w:t>责任追究和协作机制，不断加大</w:t>
      </w:r>
      <w:r>
        <w:rPr>
          <w:rFonts w:hint="eastAsia" w:eastAsia="仿宋_GB2312"/>
          <w:sz w:val="32"/>
          <w:szCs w:val="32"/>
        </w:rPr>
        <w:t>对虚假诉讼的</w:t>
      </w:r>
      <w:r>
        <w:rPr>
          <w:rFonts w:eastAsia="仿宋_GB2312"/>
          <w:sz w:val="32"/>
          <w:szCs w:val="32"/>
        </w:rPr>
        <w:t>惩治力度，</w:t>
      </w:r>
      <w:r>
        <w:rPr>
          <w:rFonts w:hint="eastAsia" w:eastAsia="仿宋_GB2312"/>
          <w:sz w:val="32"/>
          <w:szCs w:val="32"/>
        </w:rPr>
        <w:t>有力净化诉讼环境</w:t>
      </w:r>
      <w:r>
        <w:rPr>
          <w:rFonts w:eastAsia="仿宋_GB2312"/>
          <w:sz w:val="32"/>
          <w:szCs w:val="32"/>
        </w:rPr>
        <w:t>。出台《关于进一步防范和打击虚假诉讼的实施办法》</w:t>
      </w:r>
      <w:r>
        <w:rPr>
          <w:rFonts w:hint="eastAsia" w:eastAsia="仿宋_GB2312"/>
          <w:sz w:val="32"/>
          <w:szCs w:val="32"/>
        </w:rPr>
        <w:t>、</w:t>
      </w:r>
      <w:r>
        <w:rPr>
          <w:rFonts w:eastAsia="仿宋_GB2312"/>
          <w:sz w:val="32"/>
          <w:szCs w:val="32"/>
        </w:rPr>
        <w:t>《关于深入开展整治虚假诉讼专项行动的实施方案》等规定</w:t>
      </w:r>
      <w:r>
        <w:rPr>
          <w:rFonts w:hint="eastAsia" w:eastAsia="仿宋_GB2312"/>
          <w:sz w:val="32"/>
          <w:szCs w:val="32"/>
        </w:rPr>
        <w:t>，</w:t>
      </w:r>
      <w:r>
        <w:rPr>
          <w:rFonts w:eastAsia="仿宋_GB2312"/>
          <w:sz w:val="32"/>
          <w:szCs w:val="32"/>
        </w:rPr>
        <w:t>成立虚假诉讼专项活动领导小组、虚假诉讼甄别小组。构建防范和惩治虚假诉讼长效机制，对民间借贷、公司分立（合并）、企业破产、第三人撤销之诉和执行异议之诉等重点案件进行关联检索，发现涉嫌虚假诉讼的，</w:t>
      </w:r>
      <w:r>
        <w:rPr>
          <w:rFonts w:hint="eastAsia" w:eastAsia="仿宋_GB2312"/>
          <w:sz w:val="32"/>
          <w:szCs w:val="32"/>
        </w:rPr>
        <w:t>即</w:t>
      </w:r>
      <w:r>
        <w:rPr>
          <w:rFonts w:eastAsia="仿宋_GB2312"/>
          <w:sz w:val="32"/>
          <w:szCs w:val="32"/>
        </w:rPr>
        <w:t>报虚假诉讼甄别小组审核确定，涉嫌犯罪的，及时移送公安机关侦查。</w:t>
      </w:r>
      <w:r>
        <w:rPr>
          <w:rFonts w:eastAsia="仿宋_GB2312"/>
          <w:bCs/>
          <w:sz w:val="32"/>
          <w:szCs w:val="32"/>
        </w:rPr>
        <w:t>市检察院</w:t>
      </w:r>
      <w:r>
        <w:rPr>
          <w:rFonts w:hint="eastAsia" w:eastAsia="仿宋_GB2312"/>
          <w:sz w:val="32"/>
          <w:szCs w:val="32"/>
          <w:lang w:val="zh-CN"/>
        </w:rPr>
        <w:t>不断</w:t>
      </w:r>
      <w:r>
        <w:rPr>
          <w:rFonts w:eastAsia="仿宋_GB2312"/>
          <w:sz w:val="32"/>
          <w:szCs w:val="32"/>
          <w:lang w:val="zh-CN"/>
        </w:rPr>
        <w:t>深化创新项目“虚假诉讼线索筛查同步审查办案模式”，</w:t>
      </w:r>
      <w:r>
        <w:rPr>
          <w:rFonts w:hint="eastAsia" w:eastAsia="仿宋_GB2312"/>
          <w:sz w:val="32"/>
          <w:szCs w:val="32"/>
          <w:lang w:val="zh-CN"/>
        </w:rPr>
        <w:t>不断完善</w:t>
      </w:r>
      <w:r>
        <w:rPr>
          <w:rFonts w:eastAsia="仿宋_GB2312"/>
          <w:sz w:val="32"/>
          <w:szCs w:val="32"/>
          <w:lang w:val="zh-CN"/>
        </w:rPr>
        <w:t>线索移送、联合查办、结果反馈等协作机制，以检察建议、提请抗诉等多种监督手段查处逃废债行为</w:t>
      </w:r>
      <w:r>
        <w:rPr>
          <w:rFonts w:hint="eastAsia" w:eastAsia="仿宋_GB2312"/>
          <w:sz w:val="32"/>
          <w:szCs w:val="32"/>
          <w:lang w:val="zh-CN"/>
        </w:rPr>
        <w:t>，与市法院合力</w:t>
      </w:r>
      <w:r>
        <w:rPr>
          <w:rFonts w:eastAsia="仿宋_GB2312"/>
          <w:sz w:val="32"/>
          <w:szCs w:val="32"/>
          <w:lang w:val="zh-CN"/>
        </w:rPr>
        <w:t>破解逃废债案件中的虚假诉讼难题。</w:t>
      </w:r>
    </w:p>
    <w:p>
      <w:pPr>
        <w:spacing w:line="560" w:lineRule="exact"/>
        <w:ind w:firstLine="643" w:firstLineChars="200"/>
        <w:rPr>
          <w:rFonts w:eastAsia="楷体"/>
          <w:b/>
          <w:bCs/>
          <w:sz w:val="32"/>
          <w:szCs w:val="32"/>
        </w:rPr>
      </w:pPr>
      <w:r>
        <w:rPr>
          <w:rFonts w:eastAsia="楷体"/>
          <w:b/>
          <w:bCs/>
          <w:sz w:val="32"/>
          <w:szCs w:val="32"/>
        </w:rPr>
        <w:t>（三）搭建银企合作桥梁，改善金融生态环境</w:t>
      </w:r>
    </w:p>
    <w:p>
      <w:pPr>
        <w:spacing w:line="560" w:lineRule="exact"/>
        <w:ind w:firstLine="640" w:firstLineChars="200"/>
        <w:rPr>
          <w:rFonts w:eastAsia="仿宋_GB2312"/>
          <w:sz w:val="32"/>
          <w:szCs w:val="32"/>
        </w:rPr>
      </w:pPr>
      <w:r>
        <w:rPr>
          <w:rFonts w:eastAsia="仿宋_GB2312"/>
          <w:sz w:val="32"/>
          <w:szCs w:val="32"/>
        </w:rPr>
        <w:t>市法院结合市金融发展服务中心等部门开展的金融服务节、宣传教育月等活动，</w:t>
      </w:r>
      <w:r>
        <w:rPr>
          <w:rFonts w:hint="eastAsia" w:eastAsia="仿宋_GB2312"/>
          <w:sz w:val="32"/>
          <w:szCs w:val="32"/>
        </w:rPr>
        <w:t>依托新媒体发布</w:t>
      </w:r>
      <w:r>
        <w:rPr>
          <w:rFonts w:eastAsia="仿宋_GB2312"/>
          <w:sz w:val="32"/>
          <w:szCs w:val="32"/>
        </w:rPr>
        <w:t>逃废债典型案例，</w:t>
      </w:r>
      <w:r>
        <w:rPr>
          <w:rFonts w:hint="eastAsia" w:eastAsia="仿宋_GB2312"/>
          <w:sz w:val="32"/>
          <w:szCs w:val="32"/>
        </w:rPr>
        <w:t>告知</w:t>
      </w:r>
      <w:r>
        <w:rPr>
          <w:rFonts w:eastAsia="仿宋_GB2312"/>
          <w:sz w:val="32"/>
          <w:szCs w:val="32"/>
        </w:rPr>
        <w:t>逃废债的法律后果和责任，</w:t>
      </w:r>
      <w:r>
        <w:rPr>
          <w:rFonts w:hint="eastAsia" w:eastAsia="仿宋_GB2312"/>
          <w:sz w:val="32"/>
          <w:szCs w:val="32"/>
        </w:rPr>
        <w:t>教育</w:t>
      </w:r>
      <w:r>
        <w:rPr>
          <w:rFonts w:eastAsia="仿宋_GB2312"/>
          <w:sz w:val="32"/>
          <w:szCs w:val="32"/>
        </w:rPr>
        <w:t>引导</w:t>
      </w:r>
      <w:r>
        <w:rPr>
          <w:rFonts w:hint="eastAsia" w:eastAsia="仿宋_GB2312"/>
          <w:sz w:val="32"/>
          <w:szCs w:val="32"/>
        </w:rPr>
        <w:t>企业主体</w:t>
      </w:r>
      <w:r>
        <w:rPr>
          <w:rFonts w:eastAsia="仿宋_GB2312"/>
          <w:sz w:val="32"/>
          <w:szCs w:val="32"/>
        </w:rPr>
        <w:t>诚信经营，促进社会诚信</w:t>
      </w:r>
      <w:r>
        <w:rPr>
          <w:rFonts w:hint="eastAsia" w:eastAsia="仿宋_GB2312"/>
          <w:sz w:val="32"/>
          <w:szCs w:val="32"/>
        </w:rPr>
        <w:t>体系</w:t>
      </w:r>
      <w:r>
        <w:rPr>
          <w:rFonts w:eastAsia="仿宋_GB2312"/>
          <w:sz w:val="32"/>
          <w:szCs w:val="32"/>
        </w:rPr>
        <w:t>建设</w:t>
      </w:r>
      <w:r>
        <w:rPr>
          <w:rFonts w:hint="eastAsia" w:eastAsia="仿宋_GB2312"/>
          <w:sz w:val="32"/>
          <w:szCs w:val="32"/>
        </w:rPr>
        <w:t>；</w:t>
      </w:r>
      <w:r>
        <w:rPr>
          <w:rFonts w:eastAsia="仿宋_GB2312"/>
          <w:sz w:val="32"/>
          <w:szCs w:val="32"/>
        </w:rPr>
        <w:t>与市金融办、人行慈溪支行共同出台《关于进一步推进金融纠纷多元化解机制建设的意见》，</w:t>
      </w:r>
      <w:r>
        <w:rPr>
          <w:rFonts w:hint="eastAsia" w:eastAsia="仿宋_GB2312"/>
          <w:sz w:val="32"/>
          <w:szCs w:val="32"/>
        </w:rPr>
        <w:t>推动金融纠纷多元化解</w:t>
      </w:r>
      <w:r>
        <w:rPr>
          <w:rFonts w:eastAsia="仿宋_GB2312"/>
          <w:sz w:val="32"/>
          <w:szCs w:val="32"/>
        </w:rPr>
        <w:t>，依法保障中小企业</w:t>
      </w:r>
      <w:r>
        <w:rPr>
          <w:rFonts w:hint="eastAsia" w:eastAsia="仿宋_GB2312"/>
          <w:sz w:val="32"/>
          <w:szCs w:val="32"/>
        </w:rPr>
        <w:t>健康</w:t>
      </w:r>
      <w:r>
        <w:rPr>
          <w:rFonts w:eastAsia="仿宋_GB2312"/>
          <w:sz w:val="32"/>
          <w:szCs w:val="32"/>
        </w:rPr>
        <w:t>发展</w:t>
      </w:r>
      <w:r>
        <w:rPr>
          <w:rFonts w:hint="eastAsia" w:eastAsia="仿宋_GB2312"/>
          <w:sz w:val="32"/>
          <w:szCs w:val="32"/>
        </w:rPr>
        <w:t>；</w:t>
      </w:r>
      <w:r>
        <w:rPr>
          <w:rFonts w:eastAsia="仿宋_GB2312"/>
          <w:sz w:val="32"/>
          <w:szCs w:val="32"/>
        </w:rPr>
        <w:t>积极延伸审判职能，发现银行等金融机构有违规吸存、放贷等行为的，及时发出司法建议，促进整改，减少废债源头</w:t>
      </w:r>
      <w:r>
        <w:rPr>
          <w:rFonts w:hint="eastAsia" w:eastAsia="仿宋_GB2312"/>
          <w:sz w:val="32"/>
          <w:szCs w:val="32"/>
        </w:rPr>
        <w:t>；</w:t>
      </w:r>
      <w:r>
        <w:rPr>
          <w:rFonts w:eastAsia="仿宋_GB2312"/>
          <w:sz w:val="32"/>
          <w:szCs w:val="32"/>
        </w:rPr>
        <w:t>积极配合政府和金融监管部门做好企业资金链、担保链风险的化解工作，维护健康稳定的企业融资环境。2020年度市法院共受理金融类执行案件1418件，同比减少2.74%。我市不良贷款率从前几年最高点8.21%下降至</w:t>
      </w:r>
      <w:r>
        <w:rPr>
          <w:rFonts w:hint="eastAsia" w:eastAsia="仿宋_GB2312"/>
          <w:sz w:val="32"/>
          <w:szCs w:val="32"/>
        </w:rPr>
        <w:t>目前</w:t>
      </w:r>
      <w:r>
        <w:rPr>
          <w:rFonts w:eastAsia="仿宋_GB2312"/>
          <w:sz w:val="32"/>
          <w:szCs w:val="32"/>
        </w:rPr>
        <w:t>的0.40%，全市金融风险基本出清，金融生态环境得到明显改善。</w:t>
      </w:r>
    </w:p>
    <w:p>
      <w:pPr>
        <w:spacing w:line="560" w:lineRule="exact"/>
        <w:ind w:firstLine="640" w:firstLineChars="200"/>
        <w:rPr>
          <w:rFonts w:eastAsia="黑体"/>
          <w:sz w:val="32"/>
          <w:szCs w:val="32"/>
        </w:rPr>
      </w:pPr>
      <w:r>
        <w:rPr>
          <w:rFonts w:eastAsia="黑体"/>
          <w:sz w:val="32"/>
          <w:szCs w:val="32"/>
        </w:rPr>
        <w:t>二、认真听取意见建议，进一步加大逃废债打击力度</w:t>
      </w:r>
    </w:p>
    <w:p>
      <w:pPr>
        <w:tabs>
          <w:tab w:val="left" w:pos="4956"/>
        </w:tabs>
        <w:spacing w:line="560" w:lineRule="exact"/>
        <w:ind w:firstLine="640" w:firstLineChars="200"/>
        <w:rPr>
          <w:rFonts w:eastAsia="仿宋_GB2312"/>
          <w:sz w:val="32"/>
          <w:szCs w:val="32"/>
        </w:rPr>
      </w:pPr>
      <w:r>
        <w:rPr>
          <w:rFonts w:eastAsia="仿宋_GB2312"/>
          <w:sz w:val="32"/>
          <w:szCs w:val="32"/>
        </w:rPr>
        <w:t>对于本次建议中反映的“逃废债手段升级翻新”“欺诈破产防不胜防”“劣币驱逐良币”等问题，市法院高度重视，</w:t>
      </w:r>
      <w:r>
        <w:rPr>
          <w:rFonts w:hint="eastAsia" w:ascii="仿宋_GB2312" w:hAnsi="仿宋_GB2312" w:eastAsia="仿宋_GB2312" w:cs="仿宋_GB2312"/>
          <w:sz w:val="32"/>
          <w:szCs w:val="32"/>
        </w:rPr>
        <w:t>及时开展自查、总结、反思、整改。</w:t>
      </w:r>
      <w:r>
        <w:rPr>
          <w:rFonts w:hint="eastAsia" w:eastAsia="仿宋_GB2312"/>
          <w:sz w:val="32"/>
          <w:szCs w:val="32"/>
        </w:rPr>
        <w:t>虽然市法院及相关部门在打击逃废债方面取得了一定成效，但</w:t>
      </w:r>
      <w:r>
        <w:rPr>
          <w:rFonts w:eastAsia="仿宋_GB2312"/>
          <w:sz w:val="32"/>
          <w:szCs w:val="32"/>
        </w:rPr>
        <w:t>仍然存在打击力度还不够大、协同配合还不够高效、宣传引导还不够有力等问题。下一步，市法院</w:t>
      </w:r>
      <w:r>
        <w:rPr>
          <w:rFonts w:hint="eastAsia" w:eastAsia="仿宋_GB2312"/>
          <w:sz w:val="32"/>
          <w:szCs w:val="32"/>
        </w:rPr>
        <w:t>与相关部门</w:t>
      </w:r>
      <w:r>
        <w:rPr>
          <w:rFonts w:eastAsia="仿宋_GB2312"/>
          <w:sz w:val="32"/>
          <w:szCs w:val="32"/>
        </w:rPr>
        <w:t>将坚持问题导向，以监督为动力，正视存在的不足，努力加以改进提升，继续做好以下几个方面:</w:t>
      </w:r>
    </w:p>
    <w:p>
      <w:pPr>
        <w:spacing w:line="560" w:lineRule="exact"/>
        <w:ind w:firstLine="643" w:firstLineChars="200"/>
        <w:rPr>
          <w:rFonts w:eastAsia="楷体"/>
          <w:b/>
          <w:sz w:val="32"/>
          <w:szCs w:val="32"/>
        </w:rPr>
      </w:pPr>
      <w:r>
        <w:rPr>
          <w:rFonts w:eastAsia="楷体"/>
          <w:b/>
          <w:sz w:val="32"/>
          <w:szCs w:val="32"/>
        </w:rPr>
        <w:t>（一）坚持多措并举，提升企业纠纷化解质效</w:t>
      </w:r>
    </w:p>
    <w:p>
      <w:pPr>
        <w:spacing w:line="560" w:lineRule="exact"/>
        <w:ind w:firstLine="640" w:firstLineChars="200"/>
        <w:rPr>
          <w:rFonts w:eastAsia="仿宋_GB2312"/>
          <w:sz w:val="32"/>
          <w:szCs w:val="32"/>
        </w:rPr>
      </w:pPr>
      <w:r>
        <w:rPr>
          <w:rFonts w:eastAsia="仿宋_GB2312"/>
          <w:sz w:val="32"/>
          <w:szCs w:val="32"/>
        </w:rPr>
        <w:t>对涉及同一债务人的系列案件、关联企业破产案件、可能引发区域性或系统性企业经营风险的案件，积极探索构建专业化审判模式，即集中受理、集中审判、协调执行，依法平等保护各债权人的合法权益。谨慎采取财产保全措施，对案涉企业采取差异化处理，根据个案制定“个性化”财产处置</w:t>
      </w:r>
      <w:r>
        <w:rPr>
          <w:rFonts w:hint="eastAsia" w:eastAsia="仿宋_GB2312"/>
          <w:sz w:val="32"/>
          <w:szCs w:val="32"/>
        </w:rPr>
        <w:t>方案</w:t>
      </w:r>
      <w:r>
        <w:rPr>
          <w:rFonts w:eastAsia="仿宋_GB2312"/>
          <w:sz w:val="32"/>
          <w:szCs w:val="32"/>
        </w:rPr>
        <w:t>，灵活运用执行措施，尽量避免因诉讼活动加剧企业资金链断裂风险。开辟“绿色通道”，快立、快审、快执涉企案件，在确保公正的前提下提高案件</w:t>
      </w:r>
      <w:r>
        <w:rPr>
          <w:rFonts w:hint="eastAsia" w:eastAsia="仿宋_GB2312"/>
          <w:sz w:val="32"/>
          <w:szCs w:val="32"/>
        </w:rPr>
        <w:t>审执</w:t>
      </w:r>
      <w:r>
        <w:rPr>
          <w:rFonts w:eastAsia="仿宋_GB2312"/>
          <w:sz w:val="32"/>
          <w:szCs w:val="32"/>
        </w:rPr>
        <w:t>效率，帮助企业尽快实现债权。深化多元纠纷化解机制，强化与相关调解组织、行业协会的诉调对接，</w:t>
      </w:r>
      <w:r>
        <w:rPr>
          <w:rFonts w:hint="eastAsia" w:eastAsia="仿宋_GB2312"/>
          <w:sz w:val="32"/>
          <w:szCs w:val="32"/>
        </w:rPr>
        <w:t>推动</w:t>
      </w:r>
      <w:r>
        <w:rPr>
          <w:rFonts w:eastAsia="仿宋_GB2312"/>
          <w:sz w:val="32"/>
          <w:szCs w:val="32"/>
        </w:rPr>
        <w:t>案件就地化解、源头化解。</w:t>
      </w:r>
    </w:p>
    <w:p>
      <w:pPr>
        <w:spacing w:line="560" w:lineRule="exact"/>
        <w:ind w:firstLine="643" w:firstLineChars="200"/>
        <w:rPr>
          <w:rFonts w:eastAsia="楷体"/>
          <w:b/>
          <w:sz w:val="32"/>
          <w:szCs w:val="32"/>
        </w:rPr>
      </w:pPr>
      <w:r>
        <w:rPr>
          <w:rFonts w:eastAsia="楷体"/>
          <w:b/>
          <w:sz w:val="32"/>
          <w:szCs w:val="32"/>
        </w:rPr>
        <w:t>（二）精准识辨“欺诈破产”，兼顾破产企业利益</w:t>
      </w:r>
    </w:p>
    <w:p>
      <w:pPr>
        <w:spacing w:line="560" w:lineRule="exact"/>
        <w:ind w:firstLine="640" w:firstLineChars="200"/>
        <w:rPr>
          <w:rFonts w:eastAsia="仿宋_GB2312"/>
          <w:sz w:val="32"/>
          <w:szCs w:val="32"/>
        </w:rPr>
      </w:pPr>
      <w:r>
        <w:rPr>
          <w:rFonts w:eastAsia="仿宋_GB2312"/>
          <w:sz w:val="32"/>
          <w:szCs w:val="32"/>
        </w:rPr>
        <w:t>针对破产案件，及时分析企业破产原因，深入了解企业破产前财产去向、关联企业债权债务情况、企业资产设立担保物权及租赁情况、股东股权质押和转让情况等企业重大事项，防止企业以“破产”逃废债，损害债权人利益，扰乱市场秩序。坚持“少破产清算，多兼并重组”的工作思路，对有发展前景的企业及时启动重整程序，发挥府院联动机制</w:t>
      </w:r>
      <w:r>
        <w:rPr>
          <w:rFonts w:hint="eastAsia" w:eastAsia="仿宋_GB2312"/>
          <w:sz w:val="32"/>
          <w:szCs w:val="32"/>
        </w:rPr>
        <w:t>作用</w:t>
      </w:r>
      <w:r>
        <w:rPr>
          <w:rFonts w:eastAsia="仿宋_GB2312"/>
          <w:sz w:val="32"/>
          <w:szCs w:val="32"/>
        </w:rPr>
        <w:t>，落实扶持政策，帮助企业渡过难关。对长期亏损、扭亏无望的企业，及时全面清理债权债务关系，确保企业有序退出市场，遏制风险蔓延。</w:t>
      </w:r>
    </w:p>
    <w:p>
      <w:pPr>
        <w:spacing w:line="560" w:lineRule="exact"/>
        <w:ind w:firstLine="643" w:firstLineChars="200"/>
        <w:rPr>
          <w:rFonts w:eastAsia="楷体"/>
          <w:b/>
          <w:sz w:val="32"/>
          <w:szCs w:val="32"/>
        </w:rPr>
      </w:pPr>
      <w:r>
        <w:rPr>
          <w:rFonts w:eastAsia="楷体"/>
          <w:b/>
          <w:sz w:val="32"/>
          <w:szCs w:val="32"/>
        </w:rPr>
        <w:t>（三）用足用好“两项机制”，助力信用体系建设</w:t>
      </w:r>
    </w:p>
    <w:p>
      <w:pPr>
        <w:spacing w:line="560" w:lineRule="exact"/>
        <w:ind w:firstLine="640" w:firstLineChars="200"/>
        <w:rPr>
          <w:rFonts w:eastAsia="仿宋_GB2312"/>
          <w:sz w:val="32"/>
          <w:szCs w:val="32"/>
        </w:rPr>
      </w:pPr>
      <w:r>
        <w:rPr>
          <w:rFonts w:eastAsia="仿宋_GB2312"/>
          <w:sz w:val="32"/>
          <w:szCs w:val="32"/>
        </w:rPr>
        <w:t>继续深化自动履行正向激励机制和信用修复机制，完善与市信用办建立的自动履行正向激励及信用修复机制联席会议制度，在金融、行政、司法等适当领域和场景实施联合激励措施，引导鼓励更多当事人主动履行法院生效法律文书。强化立审执全流程兼顾，不断提升涉企案件自动履行率，助力执源治理。继续用好</w:t>
      </w:r>
      <w:r>
        <w:rPr>
          <w:rFonts w:hint="eastAsia" w:eastAsia="仿宋_GB2312"/>
          <w:sz w:val="32"/>
          <w:szCs w:val="32"/>
        </w:rPr>
        <w:t>市法院</w:t>
      </w:r>
      <w:r>
        <w:rPr>
          <w:rFonts w:eastAsia="仿宋_GB2312"/>
          <w:sz w:val="32"/>
          <w:szCs w:val="32"/>
        </w:rPr>
        <w:t>与农商行联合推出的“诚信履行贷”，释放诚信红利，激励失信被执行人自我纠错、主动自新。</w:t>
      </w:r>
    </w:p>
    <w:p>
      <w:pPr>
        <w:spacing w:line="560" w:lineRule="exact"/>
        <w:ind w:firstLine="640" w:firstLineChars="200"/>
        <w:rPr>
          <w:rFonts w:eastAsia="仿宋_GB2312"/>
          <w:sz w:val="32"/>
          <w:szCs w:val="32"/>
        </w:rPr>
      </w:pPr>
      <w:r>
        <w:rPr>
          <w:rFonts w:eastAsia="仿宋_GB2312"/>
          <w:sz w:val="32"/>
          <w:szCs w:val="32"/>
        </w:rPr>
        <w:t xml:space="preserve">最后，忠心感谢您对市法院、市检察院、市公安局和市金融发展服务中心工作的关心和支持！希望今后继续对我们工作予以关心和监督。               </w:t>
      </w:r>
    </w:p>
    <w:p>
      <w:pPr>
        <w:spacing w:line="560" w:lineRule="exact"/>
        <w:ind w:firstLine="640" w:firstLineChars="200"/>
        <w:rPr>
          <w:rFonts w:eastAsia="仿宋_GB2312"/>
          <w:sz w:val="32"/>
          <w:szCs w:val="32"/>
        </w:rPr>
      </w:pPr>
    </w:p>
    <w:p>
      <w:pPr>
        <w:spacing w:line="560" w:lineRule="exact"/>
        <w:ind w:firstLine="640" w:firstLineChars="200"/>
        <w:jc w:val="right"/>
        <w:rPr>
          <w:rFonts w:eastAsia="仿宋"/>
          <w:sz w:val="32"/>
          <w:szCs w:val="32"/>
        </w:rPr>
      </w:pPr>
      <w:r>
        <w:rPr>
          <w:rFonts w:eastAsia="仿宋"/>
          <w:sz w:val="32"/>
          <w:szCs w:val="32"/>
        </w:rPr>
        <w:t xml:space="preserve">               </w:t>
      </w:r>
    </w:p>
    <w:p>
      <w:pPr>
        <w:spacing w:line="560" w:lineRule="exact"/>
        <w:ind w:firstLine="640" w:firstLineChars="200"/>
        <w:jc w:val="right"/>
        <w:rPr>
          <w:rFonts w:eastAsia="仿宋"/>
          <w:sz w:val="32"/>
          <w:szCs w:val="32"/>
        </w:rPr>
      </w:pPr>
    </w:p>
    <w:p>
      <w:pPr>
        <w:spacing w:line="560" w:lineRule="exact"/>
        <w:ind w:firstLine="640" w:firstLineChars="200"/>
        <w:jc w:val="right"/>
        <w:rPr>
          <w:rFonts w:eastAsia="仿宋"/>
          <w:sz w:val="32"/>
          <w:szCs w:val="32"/>
        </w:rPr>
      </w:pPr>
    </w:p>
    <w:p>
      <w:pPr>
        <w:spacing w:line="560" w:lineRule="exact"/>
        <w:ind w:firstLine="640" w:firstLineChars="200"/>
        <w:jc w:val="right"/>
        <w:rPr>
          <w:rFonts w:eastAsia="仿宋"/>
          <w:sz w:val="32"/>
          <w:szCs w:val="32"/>
        </w:rPr>
      </w:pPr>
      <w:r>
        <w:rPr>
          <w:rFonts w:eastAsia="仿宋"/>
          <w:sz w:val="32"/>
          <w:szCs w:val="32"/>
        </w:rPr>
        <w:t xml:space="preserve">  2021年6月2</w:t>
      </w:r>
      <w:r>
        <w:rPr>
          <w:rFonts w:hint="eastAsia" w:eastAsia="仿宋"/>
          <w:sz w:val="32"/>
          <w:szCs w:val="32"/>
        </w:rPr>
        <w:t>8</w:t>
      </w:r>
      <w:r>
        <w:rPr>
          <w:rFonts w:eastAsia="仿宋"/>
          <w:sz w:val="32"/>
          <w:szCs w:val="32"/>
        </w:rPr>
        <w:t>日</w:t>
      </w: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p>
    <w:p>
      <w:pPr>
        <w:spacing w:line="560" w:lineRule="exact"/>
        <w:ind w:firstLine="640" w:firstLineChars="200"/>
        <w:rPr>
          <w:rFonts w:eastAsia="仿宋"/>
          <w:sz w:val="32"/>
          <w:szCs w:val="32"/>
        </w:rPr>
      </w:pPr>
      <w:r>
        <w:rPr>
          <w:rFonts w:eastAsia="仿宋"/>
          <w:sz w:val="32"/>
          <w:szCs w:val="32"/>
        </w:rPr>
        <w:t xml:space="preserve">联 系 人：干盛盛             </w:t>
      </w:r>
    </w:p>
    <w:p>
      <w:pPr>
        <w:spacing w:line="560" w:lineRule="exact"/>
        <w:ind w:firstLine="640" w:firstLineChars="200"/>
      </w:pPr>
      <w:r>
        <w:rPr>
          <w:rFonts w:eastAsia="仿宋"/>
          <w:sz w:val="32"/>
          <w:szCs w:val="32"/>
        </w:rPr>
        <w:t>联系方式：</w:t>
      </w:r>
      <w:r>
        <w:rPr>
          <w:rFonts w:eastAsia="仿宋_GB2312"/>
          <w:sz w:val="32"/>
          <w:szCs w:val="32"/>
        </w:rPr>
        <w:t>63912745</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5963429"/>
    </w:sdtPr>
    <w:sdtEndPr>
      <w:rPr>
        <w:sz w:val="28"/>
        <w:szCs w:val="28"/>
      </w:rPr>
    </w:sdtEndPr>
    <w:sdtContent>
      <w:p>
        <w:pPr>
          <w:pStyle w:val="3"/>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5 -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0015680"/>
    </w:sdtPr>
    <w:sdtEndPr>
      <w:rPr>
        <w:sz w:val="28"/>
        <w:szCs w:val="28"/>
      </w:rPr>
    </w:sdtEndPr>
    <w:sdtContent>
      <w:p>
        <w:pPr>
          <w:pStyle w:val="3"/>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350CC"/>
    <w:rsid w:val="000570E9"/>
    <w:rsid w:val="000C64E1"/>
    <w:rsid w:val="0010003A"/>
    <w:rsid w:val="00113040"/>
    <w:rsid w:val="001B462E"/>
    <w:rsid w:val="001E4D0C"/>
    <w:rsid w:val="00272353"/>
    <w:rsid w:val="002C0F79"/>
    <w:rsid w:val="003013B4"/>
    <w:rsid w:val="00311B80"/>
    <w:rsid w:val="00342B38"/>
    <w:rsid w:val="00376CF3"/>
    <w:rsid w:val="003A1F8B"/>
    <w:rsid w:val="003A28A3"/>
    <w:rsid w:val="003E3D95"/>
    <w:rsid w:val="004D3A8A"/>
    <w:rsid w:val="004F7585"/>
    <w:rsid w:val="00532A28"/>
    <w:rsid w:val="005D0927"/>
    <w:rsid w:val="005F0C23"/>
    <w:rsid w:val="00614D0D"/>
    <w:rsid w:val="00615B53"/>
    <w:rsid w:val="00682352"/>
    <w:rsid w:val="00696D8B"/>
    <w:rsid w:val="006E6C09"/>
    <w:rsid w:val="006F3A77"/>
    <w:rsid w:val="0070754A"/>
    <w:rsid w:val="00710FB6"/>
    <w:rsid w:val="00747A1B"/>
    <w:rsid w:val="007609CF"/>
    <w:rsid w:val="007B6F77"/>
    <w:rsid w:val="007C3E64"/>
    <w:rsid w:val="007C5593"/>
    <w:rsid w:val="00800517"/>
    <w:rsid w:val="008447A6"/>
    <w:rsid w:val="008E2AE1"/>
    <w:rsid w:val="009131B4"/>
    <w:rsid w:val="00914178"/>
    <w:rsid w:val="00923FF7"/>
    <w:rsid w:val="00957A4E"/>
    <w:rsid w:val="0098657F"/>
    <w:rsid w:val="00991897"/>
    <w:rsid w:val="00996049"/>
    <w:rsid w:val="009F08BC"/>
    <w:rsid w:val="00A015B5"/>
    <w:rsid w:val="00AB6D4B"/>
    <w:rsid w:val="00AC31A7"/>
    <w:rsid w:val="00AC4D7E"/>
    <w:rsid w:val="00AE4297"/>
    <w:rsid w:val="00AF449A"/>
    <w:rsid w:val="00B30B1B"/>
    <w:rsid w:val="00B379CB"/>
    <w:rsid w:val="00B54657"/>
    <w:rsid w:val="00BF5239"/>
    <w:rsid w:val="00CA5031"/>
    <w:rsid w:val="00CC20F0"/>
    <w:rsid w:val="00D2275E"/>
    <w:rsid w:val="00D44EF6"/>
    <w:rsid w:val="00D45D1B"/>
    <w:rsid w:val="00D72B97"/>
    <w:rsid w:val="00DD29E4"/>
    <w:rsid w:val="00DF44DD"/>
    <w:rsid w:val="00E45221"/>
    <w:rsid w:val="00E50BDA"/>
    <w:rsid w:val="00E9489E"/>
    <w:rsid w:val="00E94FB4"/>
    <w:rsid w:val="00F17BDF"/>
    <w:rsid w:val="00F655A1"/>
    <w:rsid w:val="00F82FBA"/>
    <w:rsid w:val="00FA7C04"/>
    <w:rsid w:val="01304287"/>
    <w:rsid w:val="01442A43"/>
    <w:rsid w:val="022742AF"/>
    <w:rsid w:val="027E3223"/>
    <w:rsid w:val="02A9532E"/>
    <w:rsid w:val="03CB42B6"/>
    <w:rsid w:val="084D1D0B"/>
    <w:rsid w:val="088A296A"/>
    <w:rsid w:val="0968321D"/>
    <w:rsid w:val="0A5E617F"/>
    <w:rsid w:val="0FE73291"/>
    <w:rsid w:val="10AE429E"/>
    <w:rsid w:val="11380375"/>
    <w:rsid w:val="118F7242"/>
    <w:rsid w:val="121458F2"/>
    <w:rsid w:val="125A51FA"/>
    <w:rsid w:val="12897863"/>
    <w:rsid w:val="12EC6A68"/>
    <w:rsid w:val="147C5212"/>
    <w:rsid w:val="157901FD"/>
    <w:rsid w:val="16A75259"/>
    <w:rsid w:val="195A1471"/>
    <w:rsid w:val="1A1B47A9"/>
    <w:rsid w:val="1B7D29CD"/>
    <w:rsid w:val="1C1A3812"/>
    <w:rsid w:val="1C4E50E1"/>
    <w:rsid w:val="1D100BAD"/>
    <w:rsid w:val="1DB406CD"/>
    <w:rsid w:val="1E664037"/>
    <w:rsid w:val="1EB70859"/>
    <w:rsid w:val="20590BEC"/>
    <w:rsid w:val="219F10C4"/>
    <w:rsid w:val="23012594"/>
    <w:rsid w:val="23FB7339"/>
    <w:rsid w:val="241C59C1"/>
    <w:rsid w:val="260E7D41"/>
    <w:rsid w:val="276C5674"/>
    <w:rsid w:val="27F96A0A"/>
    <w:rsid w:val="28D23C12"/>
    <w:rsid w:val="2A5F3CD3"/>
    <w:rsid w:val="2A73552F"/>
    <w:rsid w:val="2B17240E"/>
    <w:rsid w:val="2B842A02"/>
    <w:rsid w:val="2BA34FAD"/>
    <w:rsid w:val="2DFF0FD8"/>
    <w:rsid w:val="2E2A6F21"/>
    <w:rsid w:val="2E5343E3"/>
    <w:rsid w:val="2E732671"/>
    <w:rsid w:val="2EE11A7D"/>
    <w:rsid w:val="2F5A0F95"/>
    <w:rsid w:val="2FE6421D"/>
    <w:rsid w:val="305C275C"/>
    <w:rsid w:val="318D6EB8"/>
    <w:rsid w:val="321E65AB"/>
    <w:rsid w:val="32386F97"/>
    <w:rsid w:val="33615C00"/>
    <w:rsid w:val="345E276F"/>
    <w:rsid w:val="349738FC"/>
    <w:rsid w:val="350E71AD"/>
    <w:rsid w:val="370E38D9"/>
    <w:rsid w:val="37B85415"/>
    <w:rsid w:val="39534ED9"/>
    <w:rsid w:val="3A7B59E3"/>
    <w:rsid w:val="3C5A1124"/>
    <w:rsid w:val="3C871FB4"/>
    <w:rsid w:val="3D57764B"/>
    <w:rsid w:val="3E077170"/>
    <w:rsid w:val="3E795B23"/>
    <w:rsid w:val="3ED468AA"/>
    <w:rsid w:val="40AB5852"/>
    <w:rsid w:val="40CA114A"/>
    <w:rsid w:val="411247EC"/>
    <w:rsid w:val="41AB4DB9"/>
    <w:rsid w:val="42611517"/>
    <w:rsid w:val="449B4DB3"/>
    <w:rsid w:val="45406F6F"/>
    <w:rsid w:val="457A6EFA"/>
    <w:rsid w:val="45B350CC"/>
    <w:rsid w:val="45E67CCF"/>
    <w:rsid w:val="46E57F41"/>
    <w:rsid w:val="472A5647"/>
    <w:rsid w:val="47FE2F52"/>
    <w:rsid w:val="48300120"/>
    <w:rsid w:val="48354E41"/>
    <w:rsid w:val="4AE26F19"/>
    <w:rsid w:val="4B1A044A"/>
    <w:rsid w:val="4BC24FE4"/>
    <w:rsid w:val="4C2571FD"/>
    <w:rsid w:val="4C657727"/>
    <w:rsid w:val="4D58448A"/>
    <w:rsid w:val="4D6C0825"/>
    <w:rsid w:val="4D8E7F56"/>
    <w:rsid w:val="4E863B9C"/>
    <w:rsid w:val="4EEC4D6F"/>
    <w:rsid w:val="50036AED"/>
    <w:rsid w:val="5230794C"/>
    <w:rsid w:val="532C1331"/>
    <w:rsid w:val="563901B5"/>
    <w:rsid w:val="577728D5"/>
    <w:rsid w:val="57802F75"/>
    <w:rsid w:val="584335D9"/>
    <w:rsid w:val="5AD969D9"/>
    <w:rsid w:val="5C796984"/>
    <w:rsid w:val="5CE765F3"/>
    <w:rsid w:val="5D6A2C96"/>
    <w:rsid w:val="5D883261"/>
    <w:rsid w:val="5E19575A"/>
    <w:rsid w:val="5EEE0823"/>
    <w:rsid w:val="5F5F2862"/>
    <w:rsid w:val="5F924191"/>
    <w:rsid w:val="60411F1A"/>
    <w:rsid w:val="6188065C"/>
    <w:rsid w:val="699142F0"/>
    <w:rsid w:val="6AA60B25"/>
    <w:rsid w:val="6B8516F5"/>
    <w:rsid w:val="6C0B08BF"/>
    <w:rsid w:val="6CC56EE0"/>
    <w:rsid w:val="6D6418D1"/>
    <w:rsid w:val="6D8271D7"/>
    <w:rsid w:val="6E104C48"/>
    <w:rsid w:val="6F5629B4"/>
    <w:rsid w:val="724D4EB9"/>
    <w:rsid w:val="73625BB4"/>
    <w:rsid w:val="763676DF"/>
    <w:rsid w:val="76E20776"/>
    <w:rsid w:val="775E350A"/>
    <w:rsid w:val="77E441E5"/>
    <w:rsid w:val="78185F84"/>
    <w:rsid w:val="78687909"/>
    <w:rsid w:val="794C6AA6"/>
    <w:rsid w:val="798C1964"/>
    <w:rsid w:val="7B4E1347"/>
    <w:rsid w:val="7C7810FB"/>
    <w:rsid w:val="7CFA25E1"/>
    <w:rsid w:val="7D3F7738"/>
    <w:rsid w:val="7E0D2A04"/>
    <w:rsid w:val="7E3356CF"/>
    <w:rsid w:val="7E625ADD"/>
    <w:rsid w:val="7E733DAA"/>
    <w:rsid w:val="7E826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6"/>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character" w:customStyle="1" w:styleId="9">
    <w:name w:val="disabled"/>
    <w:basedOn w:val="6"/>
    <w:qFormat/>
    <w:uiPriority w:val="0"/>
    <w:rPr>
      <w:color w:val="CCCCCC"/>
      <w:bdr w:val="single" w:color="F3F3F3" w:sz="4" w:space="0"/>
    </w:rPr>
  </w:style>
  <w:style w:type="character" w:customStyle="1" w:styleId="10">
    <w:name w:val="disabled1"/>
    <w:basedOn w:val="6"/>
    <w:qFormat/>
    <w:uiPriority w:val="0"/>
    <w:rPr>
      <w:color w:val="FFE3C6"/>
      <w:bdr w:val="single" w:color="FFE3C6" w:sz="4" w:space="0"/>
    </w:rPr>
  </w:style>
  <w:style w:type="character" w:customStyle="1" w:styleId="11">
    <w:name w:val="disabled2"/>
    <w:basedOn w:val="6"/>
    <w:qFormat/>
    <w:uiPriority w:val="0"/>
    <w:rPr>
      <w:vanish/>
    </w:rPr>
  </w:style>
  <w:style w:type="character" w:customStyle="1" w:styleId="12">
    <w:name w:val="current"/>
    <w:basedOn w:val="6"/>
    <w:qFormat/>
    <w:uiPriority w:val="0"/>
    <w:rPr>
      <w:b/>
      <w:color w:val="FFFFFF"/>
      <w:bdr w:val="single" w:color="AAD83E" w:sz="4" w:space="0"/>
      <w:shd w:val="clear" w:color="auto" w:fill="AAD83E"/>
    </w:rPr>
  </w:style>
  <w:style w:type="character" w:customStyle="1" w:styleId="13">
    <w:name w:val="current1"/>
    <w:basedOn w:val="6"/>
    <w:qFormat/>
    <w:uiPriority w:val="0"/>
    <w:rPr>
      <w:b/>
      <w:color w:val="FF6500"/>
      <w:bdr w:val="single" w:color="FF6500" w:sz="4" w:space="0"/>
      <w:shd w:val="clear" w:color="auto" w:fill="FFBE94"/>
    </w:rPr>
  </w:style>
  <w:style w:type="character" w:customStyle="1" w:styleId="14">
    <w:name w:val="current2"/>
    <w:basedOn w:val="6"/>
    <w:qFormat/>
    <w:uiPriority w:val="0"/>
    <w:rPr>
      <w:b/>
      <w:color w:val="000000"/>
    </w:rPr>
  </w:style>
  <w:style w:type="character" w:customStyle="1" w:styleId="15">
    <w:name w:val="页眉 Char"/>
    <w:basedOn w:val="6"/>
    <w:link w:val="4"/>
    <w:qFormat/>
    <w:uiPriority w:val="0"/>
    <w:rPr>
      <w:kern w:val="2"/>
      <w:sz w:val="18"/>
      <w:szCs w:val="18"/>
    </w:rPr>
  </w:style>
  <w:style w:type="character" w:customStyle="1" w:styleId="16">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377</Words>
  <Characters>2153</Characters>
  <Lines>17</Lines>
  <Paragraphs>5</Paragraphs>
  <TotalTime>3</TotalTime>
  <ScaleCrop>false</ScaleCrop>
  <LinksUpToDate>false</LinksUpToDate>
  <CharactersWithSpaces>2525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2021-06-21T07:21:00Z</dcterms:created>
  <dc:creator>CFL</dc:creator>
  <cp:lastModifiedBy>Administrator</cp:lastModifiedBy>
  <cp:lastPrinted>2021-06-28T07:20:00Z</cp:lastPrinted>
  <dcterms:modified xsi:type="dcterms:W3CDTF">2021-06-29T03:48:01Z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