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instrText xml:space="preserve"> HYPERLINK "http://172.19.48.50/gov_motion/files/39df6f1c9dd96c90ec8f659774bd8ebf.docx" </w:instrTex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fldChar w:fldCharType="separate"/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t>关于市第十八届人大第三次会议第</w:t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  <w:t>273</w:t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t>号</w:t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  <w:lang w:eastAsia="zh-CN"/>
        </w:rPr>
        <w:t>建议</w:t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t>的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t>协办意见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vertAlign w:val="baseli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市委改革办（市营商环境建设局）：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市十八届人大三次会议第273号关于进一步优化营商环境的建议，市工商联结合自身职能，现提出如下协办意见：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近年来，市工商联深入学习贯彻习近平新时代中国特色社会主义思想，按照上级各项决策部署，完整准确全面贯彻新发展理念，立足于民营企业家所想、民营企业所需、民营经济所困，畅通政企沟通渠道、创新助企纾困举措，在凝聚团结合力、提振发展信心、优化营商环境上发挥了积极作用。下步，市工商联将重点在以下三方面作好文章，助力我市营商环境进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一是强化思想政治引领促团结。借助主席会长执委会议、政企恳谈、走访调研等，扎实开展上级重要决策部署、指示精神的宣讲，引导企业家不断增进思想共识，汇聚团结合力，全力营造亲商爱商重商良好氛围。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二是优化部门联动服务促发展。加大与各涉企职能部门的联系，搭建商会平台，优化“商会+”工作体系，形成“工商联搭台、部门唱戏”的工作局面，为职能部门深入精准服务企业提供更大平台。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三是发挥参政议政作用畅渠道。充分发挥企业家人大代表和政协委员的优势，严格执行主席（会长）调研制度，组织企业家开展涉企重点课题调研，为企业家合理建议诉求提供重要通道。同时，督促指导各基层商会开好政企恳谈会，引导企业家代表和职能部门面对面座谈，共商发展难题破解之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7DF0"/>
    <w:rsid w:val="31E7040B"/>
    <w:rsid w:val="3AFE1E24"/>
    <w:rsid w:val="3E9114BE"/>
    <w:rsid w:val="75DF4DA9"/>
    <w:rsid w:val="768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2023-05-09T02:18:00Z</dcterms:created>
  <dc:creator>gslhh</dc:creator>
  <cp:lastModifiedBy>gslhh</cp:lastModifiedBy>
  <dcterms:modified xsi:type="dcterms:W3CDTF">2024-04-28T06:36:33Z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