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仿宋_GB2312"/>
          <w:b/>
          <w:bCs/>
          <w:sz w:val="36"/>
        </w:rPr>
      </w:pPr>
      <w:r>
        <w:rPr>
          <w:rFonts w:hint="eastAsia" w:ascii="仿宋_GB2312" w:eastAsia="仿宋_GB2312"/>
          <w:b/>
          <w:sz w:val="32"/>
        </w:rPr>
        <w:t>类别号标记：</w:t>
      </w:r>
      <w:r>
        <w:rPr>
          <w:rFonts w:hint="eastAsia"/>
          <w:b/>
          <w:sz w:val="32"/>
          <w:lang w:val="en-US" w:eastAsia="zh-CN"/>
        </w:rPr>
        <w:t>A</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840" w:lineRule="exact"/>
        <w:rPr>
          <w:rFonts w:hint="eastAsia" w:ascii="宋体" w:hAnsi="宋体" w:eastAsia="宋体" w:cs="宋体"/>
          <w:b/>
          <w:bCs/>
          <w:color w:val="FF0000"/>
          <w:spacing w:val="-14"/>
          <w:w w:val="80"/>
          <w:sz w:val="72"/>
          <w:szCs w:val="72"/>
        </w:rPr>
      </w:pPr>
      <w:r>
        <w:rPr>
          <w:rFonts w:hint="eastAsia" w:ascii="宋体" w:hAnsi="宋体" w:eastAsia="宋体" w:cs="宋体"/>
          <w:b/>
          <w:bCs/>
          <w:color w:val="FF0000"/>
          <w:spacing w:val="-17"/>
          <w:w w:val="80"/>
          <w:sz w:val="72"/>
          <w:szCs w:val="72"/>
        </w:rPr>
        <w:t>慈溪市人力资源和社会保障局文件</w:t>
      </w:r>
    </w:p>
    <w:p>
      <w:pPr>
        <w:tabs>
          <w:tab w:val="left" w:pos="360"/>
          <w:tab w:val="left" w:pos="7920"/>
          <w:tab w:val="left" w:pos="8200"/>
        </w:tabs>
        <w:spacing w:line="560" w:lineRule="exact"/>
        <w:jc w:val="center"/>
        <w:rPr>
          <w:rFonts w:hint="eastAsia" w:ascii="仿宋_GB2312" w:eastAsia="仿宋_GB2312"/>
          <w:sz w:val="32"/>
          <w:szCs w:val="32"/>
        </w:rPr>
      </w:pPr>
    </w:p>
    <w:p>
      <w:pPr>
        <w:tabs>
          <w:tab w:val="left" w:pos="360"/>
          <w:tab w:val="left" w:pos="7920"/>
          <w:tab w:val="left" w:pos="8200"/>
        </w:tabs>
        <w:spacing w:line="560" w:lineRule="exact"/>
        <w:jc w:val="center"/>
        <w:rPr>
          <w:rFonts w:hint="eastAsia" w:ascii="仿宋_GB2312" w:eastAsia="仿宋_GB2312"/>
          <w:sz w:val="32"/>
          <w:szCs w:val="32"/>
        </w:rPr>
      </w:pPr>
    </w:p>
    <w:tbl>
      <w:tblPr>
        <w:tblStyle w:val="7"/>
        <w:tblpPr w:leftFromText="180" w:rightFromText="180" w:vertAnchor="text" w:horzAnchor="page" w:tblpX="1627" w:tblpY="80"/>
        <w:tblOverlap w:val="never"/>
        <w:tblW w:w="9060" w:type="dxa"/>
        <w:tblInd w:w="0" w:type="dxa"/>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9060" w:type="dxa"/>
            <w:tcBorders>
              <w:tl2br w:val="nil"/>
              <w:tr2bl w:val="nil"/>
            </w:tcBorders>
            <w:noWrap w:val="0"/>
            <w:vAlign w:val="top"/>
          </w:tcPr>
          <w:p>
            <w:pPr>
              <w:tabs>
                <w:tab w:val="left" w:pos="360"/>
                <w:tab w:val="left" w:pos="7920"/>
                <w:tab w:val="left" w:pos="8200"/>
              </w:tabs>
              <w:spacing w:line="560" w:lineRule="exact"/>
              <w:rPr>
                <w:rFonts w:hint="eastAsia" w:ascii="仿宋_GB2312" w:eastAsia="仿宋_GB2312"/>
                <w:sz w:val="32"/>
                <w:szCs w:val="32"/>
              </w:rPr>
            </w:pPr>
            <w:r>
              <w:rPr>
                <w:rFonts w:hint="eastAsia" w:ascii="仿宋_GB2312" w:hAnsi="宋体" w:eastAsia="仿宋_GB2312"/>
                <w:sz w:val="32"/>
                <w:szCs w:val="32"/>
              </w:rPr>
              <w:t xml:space="preserve">   慈人社</w:t>
            </w:r>
            <w:r>
              <w:rPr>
                <w:rFonts w:hint="eastAsia"/>
                <w:sz w:val="32"/>
                <w:szCs w:val="32"/>
                <w:lang w:val="en-US" w:eastAsia="zh-CN"/>
              </w:rPr>
              <w:t>建</w:t>
            </w:r>
            <w:r>
              <w:rPr>
                <w:rFonts w:hint="eastAsia" w:ascii="仿宋_GB2312" w:hAnsi="宋体" w:eastAsia="仿宋_GB2312"/>
                <w:sz w:val="32"/>
                <w:szCs w:val="32"/>
              </w:rPr>
              <w:t>〔20</w:t>
            </w:r>
            <w:r>
              <w:rPr>
                <w:rFonts w:hint="eastAsia"/>
                <w:sz w:val="32"/>
                <w:szCs w:val="32"/>
                <w:lang w:val="en-US" w:eastAsia="zh-CN"/>
              </w:rPr>
              <w:t>22</w:t>
            </w:r>
            <w:r>
              <w:rPr>
                <w:rFonts w:hint="eastAsia" w:ascii="仿宋_GB2312" w:hAnsi="宋体" w:eastAsia="仿宋_GB2312"/>
                <w:sz w:val="32"/>
                <w:szCs w:val="32"/>
              </w:rPr>
              <w:t>〕</w:t>
            </w:r>
            <w:r>
              <w:rPr>
                <w:rFonts w:hint="eastAsia"/>
                <w:sz w:val="32"/>
                <w:szCs w:val="32"/>
                <w:lang w:val="en-US" w:eastAsia="zh-CN"/>
              </w:rPr>
              <w:t>5</w:t>
            </w:r>
            <w:r>
              <w:rPr>
                <w:rFonts w:hint="eastAsia" w:ascii="仿宋_GB2312" w:hAnsi="宋体" w:eastAsia="仿宋_GB2312"/>
                <w:sz w:val="32"/>
                <w:szCs w:val="32"/>
              </w:rPr>
              <w:t>号               签发人：</w:t>
            </w:r>
            <w:r>
              <w:rPr>
                <w:rFonts w:hint="eastAsia" w:ascii="仿宋" w:hAnsi="仿宋" w:eastAsia="仿宋"/>
                <w:sz w:val="32"/>
              </w:rPr>
              <w:t>沈维江</w:t>
            </w:r>
          </w:p>
        </w:tc>
      </w:tr>
    </w:tbl>
    <w:p>
      <w:pPr>
        <w:keepNext w:val="0"/>
        <w:keepLines w:val="0"/>
        <w:pageBreakBefore w:val="0"/>
        <w:widowControl w:val="0"/>
        <w:kinsoku/>
        <w:wordWrap/>
        <w:overflowPunct/>
        <w:topLinePunct w:val="0"/>
        <w:autoSpaceDE/>
        <w:autoSpaceDN/>
        <w:bidi w:val="0"/>
        <w:adjustRightInd/>
        <w:snapToGrid/>
        <w:spacing w:before="0" w:beforeLines="0" w:after="156" w:afterLines="50" w:line="640" w:lineRule="exact"/>
        <w:ind w:left="0" w:leftChars="0" w:right="0" w:rightChars="0" w:firstLine="0" w:firstLineChars="0"/>
        <w:jc w:val="center"/>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宋体" w:eastAsia="方正小标宋简体" w:cs="宋体"/>
          <w:color w:val="000000"/>
          <w:kern w:val="0"/>
          <w:sz w:val="36"/>
          <w:szCs w:val="36"/>
          <w:lang w:val="en-US" w:eastAsia="zh-CN"/>
        </w:rPr>
      </w:pPr>
      <w:r>
        <w:rPr>
          <w:rFonts w:hint="eastAsia" w:ascii="方正小标宋简体" w:hAnsi="宋体" w:eastAsia="方正小标宋简体" w:cs="宋体"/>
          <w:color w:val="000000"/>
          <w:kern w:val="0"/>
          <w:sz w:val="36"/>
          <w:szCs w:val="36"/>
          <w:lang w:val="en-US" w:eastAsia="zh-CN"/>
        </w:rPr>
        <w:t>关于市</w:t>
      </w:r>
      <w:r>
        <w:rPr>
          <w:rFonts w:hint="eastAsia" w:ascii="方正小标宋简体" w:eastAsia="方正小标宋简体" w:cs="宋体"/>
          <w:color w:val="000000"/>
          <w:kern w:val="0"/>
          <w:sz w:val="36"/>
          <w:szCs w:val="36"/>
          <w:lang w:val="en-US" w:eastAsia="zh-CN"/>
        </w:rPr>
        <w:t>人大</w:t>
      </w:r>
      <w:r>
        <w:rPr>
          <w:rFonts w:hint="eastAsia" w:ascii="方正小标宋简体" w:hAnsi="宋体" w:eastAsia="方正小标宋简体" w:cs="宋体"/>
          <w:color w:val="000000"/>
          <w:kern w:val="0"/>
          <w:sz w:val="36"/>
          <w:szCs w:val="36"/>
          <w:lang w:val="en-US" w:eastAsia="zh-CN"/>
        </w:rPr>
        <w:t>十</w:t>
      </w:r>
      <w:r>
        <w:rPr>
          <w:rFonts w:hint="eastAsia" w:ascii="方正小标宋简体" w:eastAsia="方正小标宋简体" w:cs="宋体"/>
          <w:color w:val="000000"/>
          <w:kern w:val="0"/>
          <w:sz w:val="36"/>
          <w:szCs w:val="36"/>
          <w:lang w:val="en-US" w:eastAsia="zh-CN"/>
        </w:rPr>
        <w:t>八</w:t>
      </w:r>
      <w:r>
        <w:rPr>
          <w:rFonts w:hint="eastAsia" w:ascii="方正小标宋简体" w:hAnsi="宋体" w:eastAsia="方正小标宋简体" w:cs="宋体"/>
          <w:color w:val="000000"/>
          <w:kern w:val="0"/>
          <w:sz w:val="36"/>
          <w:szCs w:val="36"/>
          <w:lang w:val="en-US" w:eastAsia="zh-CN"/>
        </w:rPr>
        <w:t>届</w:t>
      </w:r>
      <w:r>
        <w:rPr>
          <w:rFonts w:hint="eastAsia" w:ascii="方正小标宋简体" w:eastAsia="方正小标宋简体" w:cs="宋体"/>
          <w:color w:val="000000"/>
          <w:kern w:val="0"/>
          <w:sz w:val="36"/>
          <w:szCs w:val="36"/>
          <w:lang w:val="en-US" w:eastAsia="zh-CN"/>
        </w:rPr>
        <w:t>一</w:t>
      </w:r>
      <w:r>
        <w:rPr>
          <w:rFonts w:hint="eastAsia" w:ascii="方正小标宋简体" w:hAnsi="宋体" w:eastAsia="方正小标宋简体" w:cs="宋体"/>
          <w:color w:val="000000"/>
          <w:kern w:val="0"/>
          <w:sz w:val="36"/>
          <w:szCs w:val="36"/>
          <w:lang w:val="en-US" w:eastAsia="zh-CN"/>
        </w:rPr>
        <w:t>次会议第</w:t>
      </w:r>
      <w:r>
        <w:rPr>
          <w:rFonts w:hint="eastAsia" w:ascii="方正小标宋简体" w:eastAsia="方正小标宋简体" w:cs="宋体"/>
          <w:color w:val="000000"/>
          <w:kern w:val="0"/>
          <w:sz w:val="36"/>
          <w:szCs w:val="36"/>
          <w:lang w:val="en-US" w:eastAsia="zh-CN"/>
        </w:rPr>
        <w:t>323</w:t>
      </w:r>
      <w:r>
        <w:rPr>
          <w:rFonts w:hint="eastAsia" w:ascii="方正小标宋简体" w:hAnsi="宋体" w:eastAsia="方正小标宋简体" w:cs="宋体"/>
          <w:color w:val="000000"/>
          <w:kern w:val="0"/>
          <w:sz w:val="36"/>
          <w:szCs w:val="36"/>
          <w:lang w:val="en-US" w:eastAsia="zh-CN"/>
        </w:rPr>
        <w:t>号</w:t>
      </w:r>
      <w:r>
        <w:rPr>
          <w:rFonts w:hint="eastAsia" w:ascii="方正小标宋简体" w:eastAsia="方正小标宋简体" w:cs="宋体"/>
          <w:color w:val="000000"/>
          <w:kern w:val="0"/>
          <w:sz w:val="36"/>
          <w:szCs w:val="36"/>
          <w:lang w:val="en-US" w:eastAsia="zh-CN"/>
        </w:rPr>
        <w:t>建议</w:t>
      </w:r>
      <w:r>
        <w:rPr>
          <w:rFonts w:hint="eastAsia" w:ascii="方正小标宋简体" w:hAnsi="宋体" w:eastAsia="方正小标宋简体" w:cs="宋体"/>
          <w:color w:val="000000"/>
          <w:kern w:val="0"/>
          <w:sz w:val="36"/>
          <w:szCs w:val="36"/>
          <w:lang w:val="en-US" w:eastAsia="zh-CN"/>
        </w:rPr>
        <w:t>的答复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eastAsia="仿宋_GB2312"/>
          <w:b/>
          <w:bCs/>
          <w:spacing w:val="-10"/>
          <w:w w:val="9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val="en-US" w:eastAsia="zh-CN"/>
        </w:rPr>
        <w:t>张洪君</w:t>
      </w:r>
      <w:r>
        <w:rPr>
          <w:rFonts w:hint="eastAsia" w:ascii="仿宋_GB2312" w:hAnsi="仿宋_GB2312" w:eastAsia="仿宋_GB2312" w:cs="仿宋_GB2312"/>
          <w:bCs/>
          <w:spacing w:val="0"/>
          <w:sz w:val="32"/>
          <w:szCs w:val="32"/>
          <w:lang w:eastAsia="zh-CN"/>
        </w:rPr>
        <w:t>委员</w:t>
      </w:r>
      <w:r>
        <w:rPr>
          <w:rFonts w:hint="eastAsia" w:ascii="仿宋_GB2312" w:hAnsi="仿宋_GB2312" w:eastAsia="仿宋_GB2312" w:cs="仿宋_GB2312"/>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pacing w:val="0"/>
          <w:sz w:val="32"/>
          <w:szCs w:val="32"/>
        </w:rPr>
      </w:pPr>
      <w:r>
        <w:rPr>
          <w:rFonts w:hint="eastAsia" w:hAnsi="仿宋_GB2312" w:cs="仿宋_GB2312"/>
          <w:bCs/>
          <w:spacing w:val="0"/>
          <w:sz w:val="32"/>
          <w:szCs w:val="32"/>
          <w:lang w:eastAsia="zh-CN"/>
        </w:rPr>
        <w:t>您</w:t>
      </w:r>
      <w:r>
        <w:rPr>
          <w:rFonts w:hint="eastAsia" w:ascii="仿宋_GB2312" w:hAnsi="仿宋_GB2312" w:eastAsia="仿宋_GB2312" w:cs="仿宋_GB2312"/>
          <w:bCs/>
          <w:spacing w:val="0"/>
          <w:sz w:val="32"/>
          <w:szCs w:val="32"/>
        </w:rPr>
        <w:t>提出的</w:t>
      </w:r>
      <w:r>
        <w:rPr>
          <w:rFonts w:hint="eastAsia" w:ascii="仿宋_GB2312" w:hAnsi="仿宋_GB2312" w:eastAsia="仿宋_GB2312" w:cs="仿宋_GB2312"/>
          <w:bCs/>
          <w:spacing w:val="0"/>
          <w:sz w:val="32"/>
          <w:szCs w:val="32"/>
          <w:lang w:val="en-US" w:eastAsia="zh-CN"/>
        </w:rPr>
        <w:t>《关于提高在慈高校毕业生留慈就业率的建议》（第</w:t>
      </w:r>
      <w:r>
        <w:rPr>
          <w:rFonts w:hint="eastAsia" w:hAnsi="仿宋_GB2312" w:cs="仿宋_GB2312"/>
          <w:bCs/>
          <w:spacing w:val="0"/>
          <w:sz w:val="32"/>
          <w:szCs w:val="32"/>
          <w:lang w:val="en-US" w:eastAsia="zh-CN"/>
        </w:rPr>
        <w:t>323</w:t>
      </w:r>
      <w:r>
        <w:rPr>
          <w:rFonts w:hint="eastAsia" w:ascii="仿宋_GB2312" w:hAnsi="仿宋_GB2312" w:eastAsia="仿宋_GB2312" w:cs="仿宋_GB2312"/>
          <w:bCs/>
          <w:spacing w:val="0"/>
          <w:sz w:val="32"/>
          <w:szCs w:val="32"/>
          <w:lang w:val="en-US" w:eastAsia="zh-CN"/>
        </w:rPr>
        <w:t>号）</w:t>
      </w:r>
      <w:r>
        <w:rPr>
          <w:rFonts w:hint="eastAsia" w:ascii="仿宋_GB2312" w:hAnsi="仿宋_GB2312" w:eastAsia="仿宋_GB2312" w:cs="仿宋_GB2312"/>
          <w:bCs/>
          <w:spacing w:val="0"/>
          <w:sz w:val="32"/>
          <w:szCs w:val="32"/>
        </w:rPr>
        <w:t>已收悉。我局及时组织人员进行了认真研究，</w:t>
      </w:r>
      <w:r>
        <w:rPr>
          <w:rFonts w:hint="eastAsia" w:ascii="仿宋_GB2312" w:hAnsi="仿宋" w:eastAsia="仿宋_GB2312" w:cs="仿宋_GB2312"/>
          <w:bCs/>
          <w:spacing w:val="0"/>
          <w:sz w:val="32"/>
          <w:szCs w:val="32"/>
        </w:rPr>
        <w:t>并与市</w:t>
      </w:r>
      <w:r>
        <w:rPr>
          <w:rFonts w:hint="eastAsia" w:hAnsi="仿宋" w:cs="仿宋_GB2312"/>
          <w:bCs/>
          <w:spacing w:val="0"/>
          <w:sz w:val="32"/>
          <w:szCs w:val="32"/>
          <w:lang w:val="en-US" w:eastAsia="zh-CN"/>
        </w:rPr>
        <w:t>教育</w:t>
      </w:r>
      <w:r>
        <w:rPr>
          <w:rFonts w:hint="eastAsia" w:ascii="仿宋_GB2312" w:hAnsi="仿宋" w:eastAsia="仿宋_GB2312" w:cs="仿宋_GB2312"/>
          <w:bCs/>
          <w:spacing w:val="0"/>
          <w:sz w:val="32"/>
          <w:szCs w:val="32"/>
        </w:rPr>
        <w:t>局</w:t>
      </w:r>
      <w:r>
        <w:rPr>
          <w:rFonts w:hint="eastAsia" w:hAnsi="仿宋" w:cs="仿宋_GB2312"/>
          <w:bCs/>
          <w:spacing w:val="0"/>
          <w:sz w:val="32"/>
          <w:szCs w:val="32"/>
          <w:lang w:eastAsia="zh-CN"/>
        </w:rPr>
        <w:t>、市</w:t>
      </w:r>
      <w:r>
        <w:rPr>
          <w:rFonts w:hint="eastAsia" w:hAnsi="仿宋" w:cs="仿宋_GB2312"/>
          <w:bCs/>
          <w:spacing w:val="0"/>
          <w:sz w:val="32"/>
          <w:szCs w:val="32"/>
          <w:lang w:val="en-US" w:eastAsia="zh-CN"/>
        </w:rPr>
        <w:t>住建</w:t>
      </w:r>
      <w:r>
        <w:rPr>
          <w:rFonts w:hint="eastAsia" w:hAnsi="仿宋" w:cs="仿宋_GB2312"/>
          <w:bCs/>
          <w:spacing w:val="0"/>
          <w:sz w:val="32"/>
          <w:szCs w:val="32"/>
          <w:lang w:eastAsia="zh-CN"/>
        </w:rPr>
        <w:t>局、</w:t>
      </w:r>
      <w:r>
        <w:rPr>
          <w:rFonts w:hint="eastAsia" w:hAnsi="仿宋" w:cs="仿宋_GB2312"/>
          <w:bCs/>
          <w:spacing w:val="0"/>
          <w:sz w:val="32"/>
          <w:szCs w:val="32"/>
          <w:lang w:val="en-US" w:eastAsia="zh-CN"/>
        </w:rPr>
        <w:t>市委宣传部</w:t>
      </w:r>
      <w:r>
        <w:rPr>
          <w:rFonts w:hint="eastAsia" w:ascii="仿宋_GB2312" w:hAnsi="仿宋" w:eastAsia="仿宋_GB2312" w:cs="仿宋_GB2312"/>
          <w:bCs/>
          <w:spacing w:val="0"/>
          <w:sz w:val="32"/>
          <w:szCs w:val="32"/>
        </w:rPr>
        <w:t>进行商议，现将承办意见答复如下</w:t>
      </w:r>
      <w:r>
        <w:rPr>
          <w:rFonts w:hint="eastAsia" w:ascii="仿宋_GB2312" w:hAnsi="仿宋_GB2312" w:eastAsia="仿宋_GB2312" w:cs="仿宋_GB2312"/>
          <w:bCs/>
          <w:spacing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0"/>
        <w:textAlignment w:val="auto"/>
        <w:rPr>
          <w:rFonts w:hint="eastAsia" w:hAnsi="仿宋_GB2312" w:cs="仿宋_GB2312"/>
          <w:bCs/>
          <w:spacing w:val="0"/>
          <w:sz w:val="32"/>
          <w:szCs w:val="32"/>
          <w:lang w:val="en-US" w:eastAsia="zh-CN"/>
        </w:rPr>
      </w:pPr>
      <w:r>
        <w:rPr>
          <w:rFonts w:hint="eastAsia" w:hAnsi="仿宋_GB2312" w:cs="仿宋_GB2312"/>
          <w:bCs/>
          <w:spacing w:val="0"/>
          <w:sz w:val="32"/>
          <w:szCs w:val="32"/>
          <w:lang w:val="en-US" w:eastAsia="zh-CN"/>
        </w:rPr>
        <w:t>近年来，慈溪市以打造青年友好城市为目标，着力完善政策、提升服务、优化环境，打造青年人才引育留用链条式工作机制，吸引高校毕业生加速集聚，创新活力得到有效提振。2021年，全市共新增大学生就业17359人。</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0"/>
        <w:textAlignment w:val="auto"/>
        <w:rPr>
          <w:rFonts w:hint="eastAsia" w:ascii="黑体" w:hAnsi="黑体" w:eastAsia="黑体" w:cs="黑体"/>
          <w:bCs/>
          <w:spacing w:val="0"/>
          <w:sz w:val="32"/>
          <w:szCs w:val="32"/>
          <w:lang w:val="en-US" w:eastAsia="zh-CN"/>
        </w:rPr>
      </w:pPr>
      <w:r>
        <w:rPr>
          <w:rFonts w:hint="eastAsia" w:ascii="黑体" w:hAnsi="黑体" w:eastAsia="黑体" w:cs="黑体"/>
          <w:bCs/>
          <w:spacing w:val="0"/>
          <w:sz w:val="32"/>
          <w:szCs w:val="32"/>
          <w:lang w:val="en-US" w:eastAsia="zh-CN"/>
        </w:rPr>
        <w:t>主要工作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hAnsi="仿宋_GB2312" w:cs="仿宋_GB2312"/>
          <w:bCs/>
          <w:spacing w:val="0"/>
          <w:sz w:val="32"/>
          <w:szCs w:val="32"/>
          <w:lang w:val="en-US" w:eastAsia="zh-CN"/>
        </w:rPr>
      </w:pPr>
      <w:r>
        <w:rPr>
          <w:rFonts w:hint="eastAsia" w:ascii="楷体" w:hAnsi="楷体" w:eastAsia="楷体" w:cs="楷体"/>
          <w:b/>
          <w:bCs w:val="0"/>
          <w:spacing w:val="0"/>
          <w:sz w:val="32"/>
          <w:szCs w:val="32"/>
          <w:lang w:val="en-US" w:eastAsia="zh-CN"/>
        </w:rPr>
        <w:t>（一）全方位支持，激发大学生创造活力。</w:t>
      </w:r>
      <w:r>
        <w:rPr>
          <w:rFonts w:hint="eastAsia" w:hAnsi="仿宋_GB2312" w:cs="仿宋_GB2312"/>
          <w:b/>
          <w:bCs w:val="0"/>
          <w:spacing w:val="0"/>
          <w:sz w:val="32"/>
          <w:szCs w:val="32"/>
          <w:lang w:val="en-US" w:eastAsia="zh-CN"/>
        </w:rPr>
        <w:t>一是强化政策供给。</w:t>
      </w:r>
      <w:r>
        <w:rPr>
          <w:rFonts w:hint="eastAsia" w:hAnsi="仿宋_GB2312" w:cs="仿宋_GB2312"/>
          <w:bCs/>
          <w:spacing w:val="0"/>
          <w:sz w:val="32"/>
          <w:szCs w:val="32"/>
          <w:lang w:val="en-US" w:eastAsia="zh-CN"/>
        </w:rPr>
        <w:t>制定出台《关于进一步做好稳就业工作的实施意见》及实施细则，落实基础人才购房补贴、高校毕业生生活安居补助、高校毕业生就业补贴等一揽子政策，推动高校毕业生扶持政策全面迭代升级。2021年，我市发放高校毕业生就业补贴、实践补贴、中小微企业吸纳高校毕业生就业社保补贴共1693.1万元，涉及高校毕业生1901人次。</w:t>
      </w:r>
      <w:r>
        <w:rPr>
          <w:rFonts w:hint="eastAsia" w:hAnsi="仿宋_GB2312" w:cs="仿宋_GB2312"/>
          <w:b/>
          <w:bCs w:val="0"/>
          <w:spacing w:val="0"/>
          <w:sz w:val="32"/>
          <w:szCs w:val="32"/>
          <w:lang w:val="en-US" w:eastAsia="zh-CN"/>
        </w:rPr>
        <w:t>二是拓展岗位渠道。</w:t>
      </w:r>
      <w:r>
        <w:rPr>
          <w:rFonts w:hint="eastAsia" w:hAnsi="仿宋_GB2312" w:cs="仿宋_GB2312"/>
          <w:bCs/>
          <w:spacing w:val="0"/>
          <w:sz w:val="32"/>
          <w:szCs w:val="32"/>
          <w:lang w:val="en-US" w:eastAsia="zh-CN"/>
        </w:rPr>
        <w:t>引导高校毕业生到基层公共服务平台工作，工作内容涵盖就业创业、社会保险、维权调解等方面，为毕业生拓展工作岗位的同时，有效提升基层工作人员综合素质水平。为鼓励乡镇招用高校毕业生，我市严格落实基层服务岗位补贴，经审核符合条件的，按每人每月本市最低工资标准的200%由失业保险基金给予补助。目前我市共有基层服务岗位青年298人，2021年共发放补贴 1286.7万元。</w:t>
      </w:r>
      <w:r>
        <w:rPr>
          <w:rFonts w:hint="eastAsia" w:hAnsi="仿宋_GB2312" w:cs="仿宋_GB2312"/>
          <w:b/>
          <w:bCs w:val="0"/>
          <w:spacing w:val="0"/>
          <w:sz w:val="32"/>
          <w:szCs w:val="32"/>
          <w:lang w:val="en-US" w:eastAsia="zh-CN"/>
        </w:rPr>
        <w:t>三是深耕校企合作。</w:t>
      </w:r>
      <w:r>
        <w:rPr>
          <w:rFonts w:hint="eastAsia" w:hAnsi="仿宋_GB2312" w:cs="仿宋_GB2312"/>
          <w:bCs/>
          <w:spacing w:val="0"/>
          <w:sz w:val="32"/>
          <w:szCs w:val="32"/>
          <w:lang w:val="en-US" w:eastAsia="zh-CN"/>
        </w:rPr>
        <w:t>深耕本地高校宁波大学科技学院毕业生就业服务工作，在学院内部设立由专人驻点服务的“大学生就业创业校园服务站”，定期举办就业形势辅导、慈溪名企推介、“走进名企，爱上慈溪”科院学子游学等主题活动，为科院学子提供政策咨询办理、就业见习、职业指导、创业导师等一条龙便捷服务，切实提升宁大科院毕业生留慈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jc w:val="both"/>
        <w:textAlignment w:val="auto"/>
        <w:rPr>
          <w:rFonts w:hint="default" w:ascii="仿宋_GB2312" w:hAnsi="仿宋_GB2312" w:eastAsia="仿宋_GB2312" w:cs="仿宋_GB2312"/>
          <w:b w:val="0"/>
          <w:bCs w:val="0"/>
          <w:spacing w:val="0"/>
          <w:sz w:val="32"/>
          <w:szCs w:val="32"/>
          <w:lang w:val="en-US" w:eastAsia="zh-CN"/>
        </w:rPr>
      </w:pPr>
      <w:r>
        <w:rPr>
          <w:rFonts w:hint="eastAsia" w:ascii="楷体" w:hAnsi="楷体" w:eastAsia="楷体" w:cs="楷体"/>
          <w:b/>
          <w:bCs w:val="0"/>
          <w:spacing w:val="0"/>
          <w:sz w:val="32"/>
          <w:szCs w:val="32"/>
          <w:lang w:val="en-US" w:eastAsia="zh-CN"/>
        </w:rPr>
        <w:t>（二）深层次培养，推动大学生成长发展。</w:t>
      </w:r>
      <w:r>
        <w:rPr>
          <w:rFonts w:hint="eastAsia" w:hAnsi="仿宋_GB2312" w:cs="仿宋_GB2312"/>
          <w:b/>
          <w:bCs/>
          <w:color w:val="auto"/>
          <w:sz w:val="32"/>
          <w:szCs w:val="32"/>
          <w:lang w:val="en-US" w:eastAsia="zh-CN"/>
        </w:rPr>
        <w:t>一是</w:t>
      </w:r>
      <w:r>
        <w:rPr>
          <w:rFonts w:hint="eastAsia" w:hAnsi="仿宋_GB2312" w:cs="仿宋_GB2312"/>
          <w:b/>
          <w:bCs/>
          <w:spacing w:val="0"/>
          <w:sz w:val="32"/>
          <w:szCs w:val="32"/>
          <w:lang w:val="en-US" w:eastAsia="zh-CN"/>
        </w:rPr>
        <w:t>加强大学生毕业实践。</w:t>
      </w:r>
      <w:r>
        <w:rPr>
          <w:rFonts w:hint="eastAsia" w:hAnsi="仿宋_GB2312" w:cs="仿宋_GB2312"/>
          <w:bCs/>
          <w:spacing w:val="0"/>
          <w:sz w:val="32"/>
          <w:szCs w:val="32"/>
          <w:lang w:val="en-US" w:eastAsia="zh-CN"/>
        </w:rPr>
        <w:t>持续实施大学生实习实践支持政策。创新实践基地评定模式，主动邀约，上门服务，先评定后管理，给予企业实践基地建设补贴和商业保险补贴，有效推进实践基地快速高质量建设。吸引当年度毕业生到实践基地实习并来慈就业，对于实习满一个月的学生按照学历层次及是否签订三方协议按最低工资标准的100%、80%及50%给予生活补贴和最高1000元的交通补</w:t>
      </w:r>
      <w:r>
        <w:rPr>
          <w:rFonts w:hint="eastAsia" w:hAnsi="仿宋_GB2312" w:cs="仿宋_GB2312"/>
          <w:bCs/>
          <w:spacing w:val="0"/>
          <w:sz w:val="32"/>
          <w:szCs w:val="32"/>
          <w:highlight w:val="none"/>
          <w:lang w:val="en-US" w:eastAsia="zh-CN"/>
        </w:rPr>
        <w:t>助。截至目前，共评定大学生实践基地150家。</w:t>
      </w:r>
      <w:r>
        <w:rPr>
          <w:rFonts w:hint="eastAsia" w:hAnsi="仿宋_GB2312" w:cs="仿宋_GB2312"/>
          <w:b/>
          <w:bCs w:val="0"/>
          <w:spacing w:val="0"/>
          <w:sz w:val="32"/>
          <w:szCs w:val="32"/>
          <w:highlight w:val="none"/>
          <w:lang w:val="en-US" w:eastAsia="zh-CN"/>
        </w:rPr>
        <w:t>二</w:t>
      </w:r>
      <w:r>
        <w:rPr>
          <w:rFonts w:hint="eastAsia" w:hAnsi="仿宋_GB2312" w:cs="仿宋_GB2312"/>
          <w:b/>
          <w:bCs w:val="0"/>
          <w:spacing w:val="0"/>
          <w:sz w:val="32"/>
          <w:szCs w:val="32"/>
          <w:lang w:val="en-US" w:eastAsia="zh-CN"/>
        </w:rPr>
        <w:t>是</w:t>
      </w:r>
      <w:r>
        <w:rPr>
          <w:rFonts w:hint="eastAsia" w:ascii="仿宋_GB2312" w:hAnsi="仿宋_GB2312" w:eastAsia="仿宋_GB2312" w:cs="仿宋_GB2312"/>
          <w:b/>
          <w:bCs w:val="0"/>
          <w:spacing w:val="0"/>
          <w:sz w:val="32"/>
          <w:szCs w:val="32"/>
          <w:lang w:val="en-US" w:eastAsia="zh-CN"/>
        </w:rPr>
        <w:t>实施青年工匠培养计划。</w:t>
      </w:r>
      <w:r>
        <w:rPr>
          <w:rFonts w:hint="eastAsia" w:ascii="仿宋_GB2312" w:hAnsi="仿宋_GB2312" w:eastAsia="仿宋_GB2312" w:cs="仿宋_GB2312"/>
          <w:b w:val="0"/>
          <w:bCs w:val="0"/>
          <w:spacing w:val="0"/>
          <w:sz w:val="32"/>
          <w:szCs w:val="32"/>
          <w:lang w:val="en-US" w:eastAsia="zh-CN"/>
        </w:rPr>
        <w:t>积极构建以高校、职业院校（培训学校）、技能大师工作室、公共实训基地为主体的职业技能大培训网络，面向全市青年开展岗前培训、技能提升培训、新型学徒制培训等培训活动，每两年举办全市性“技能之星”职业技能大赛，多渠道提升青年职业技能素质。</w:t>
      </w:r>
      <w:r>
        <w:rPr>
          <w:rFonts w:hint="eastAsia" w:hAnsi="仿宋_GB2312" w:cs="仿宋_GB2312"/>
          <w:b w:val="0"/>
          <w:bCs w:val="0"/>
          <w:spacing w:val="0"/>
          <w:sz w:val="32"/>
          <w:szCs w:val="32"/>
          <w:lang w:val="en-US" w:eastAsia="zh-CN"/>
        </w:rPr>
        <w:t>截至2021年底</w:t>
      </w:r>
      <w:r>
        <w:rPr>
          <w:rFonts w:hint="eastAsia" w:ascii="仿宋_GB2312" w:hAnsi="仿宋_GB2312" w:eastAsia="仿宋_GB2312" w:cs="仿宋_GB2312"/>
          <w:b w:val="0"/>
          <w:bCs w:val="0"/>
          <w:spacing w:val="0"/>
          <w:sz w:val="32"/>
          <w:szCs w:val="32"/>
          <w:lang w:val="en-US" w:eastAsia="zh-CN"/>
        </w:rPr>
        <w:t>，我市累计培训青年高技能人才超过1500人次，直接认定青年高技能人才826人，培养出3名全国技术能手；建成技能大师工作室25家，其中省级6家、宁波市级3家。</w:t>
      </w:r>
      <w:r>
        <w:rPr>
          <w:rFonts w:hint="eastAsia" w:hAnsi="仿宋_GB2312" w:cs="仿宋_GB2312"/>
          <w:b/>
          <w:bCs/>
          <w:spacing w:val="0"/>
          <w:sz w:val="32"/>
          <w:szCs w:val="32"/>
          <w:lang w:val="en-US" w:eastAsia="zh-CN"/>
        </w:rPr>
        <w:t>三是</w:t>
      </w:r>
      <w:r>
        <w:rPr>
          <w:rFonts w:hint="default" w:ascii="Times New Roman" w:hAnsi="Times New Roman" w:eastAsia="仿宋_GB2312" w:cs="Times New Roman"/>
          <w:b/>
          <w:bCs/>
          <w:spacing w:val="0"/>
          <w:sz w:val="32"/>
          <w:szCs w:val="32"/>
          <w:shd w:val="clear" w:color="auto" w:fill="auto"/>
          <w:lang w:val="en-US" w:eastAsia="zh-CN"/>
        </w:rPr>
        <w:t>深化产教融合协同育人</w:t>
      </w:r>
      <w:r>
        <w:rPr>
          <w:rFonts w:hint="eastAsia" w:ascii="Times New Roman" w:hAnsi="Times New Roman" w:eastAsia="仿宋_GB2312" w:cs="Times New Roman"/>
          <w:b/>
          <w:bCs/>
          <w:spacing w:val="0"/>
          <w:sz w:val="32"/>
          <w:szCs w:val="32"/>
          <w:shd w:val="clear" w:color="auto" w:fill="auto"/>
          <w:lang w:val="en-US" w:eastAsia="zh-CN"/>
        </w:rPr>
        <w:t>。</w:t>
      </w:r>
      <w:r>
        <w:rPr>
          <w:rFonts w:hint="eastAsia" w:ascii="仿宋_GB2312" w:hAnsi="仿宋_GB2312" w:eastAsia="仿宋_GB2312" w:cs="仿宋_GB2312"/>
          <w:b w:val="0"/>
          <w:bCs w:val="0"/>
          <w:color w:val="auto"/>
          <w:sz w:val="32"/>
          <w:szCs w:val="32"/>
          <w:lang w:val="en-US" w:eastAsia="zh-CN"/>
        </w:rPr>
        <w:t>成立10个</w:t>
      </w:r>
      <w:r>
        <w:rPr>
          <w:rFonts w:hint="eastAsia" w:ascii="仿宋_GB2312" w:hAnsi="仿宋_GB2312" w:eastAsia="仿宋_GB2312" w:cs="仿宋_GB2312"/>
          <w:color w:val="auto"/>
          <w:sz w:val="32"/>
          <w:szCs w:val="32"/>
          <w:lang w:val="en-US" w:eastAsia="zh-CN"/>
        </w:rPr>
        <w:t>各具特色的职业教育集团，涌现出公牛集团、汇丽机电、中大力德等28家校企合作优秀企业基地，与大众、吉利等149家大中型企业建立紧密合作关系。全面推行现代学徒制和企业新型学徒制双元育人体系，目前中职现代学徒制在校生达7000余人，企业新型学徒制培训1905人。加强实习管理，落实教师结对包干，近年来，学生获中级工以上证书平均达82%，对口就业率达99%，每年中职学校为企业输送近1000多人，企业满意度达95%以上。</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hAnsi="仿宋_GB2312" w:cs="仿宋_GB2312"/>
          <w:b w:val="0"/>
          <w:bCs/>
          <w:spacing w:val="0"/>
          <w:sz w:val="32"/>
          <w:szCs w:val="32"/>
          <w:lang w:val="en-US" w:eastAsia="zh-CN"/>
        </w:rPr>
      </w:pPr>
      <w:r>
        <w:rPr>
          <w:rFonts w:hint="eastAsia" w:ascii="楷体" w:hAnsi="楷体" w:eastAsia="楷体" w:cs="楷体"/>
          <w:b/>
          <w:bCs w:val="0"/>
          <w:spacing w:val="0"/>
          <w:sz w:val="32"/>
          <w:szCs w:val="32"/>
          <w:lang w:val="en-US" w:eastAsia="zh-CN"/>
        </w:rPr>
        <w:t>（三）多渠道发力，优化留慈发展环境。</w:t>
      </w:r>
      <w:r>
        <w:rPr>
          <w:rFonts w:hint="eastAsia" w:hAnsi="仿宋_GB2312" w:cs="仿宋_GB2312"/>
          <w:b/>
          <w:bCs w:val="0"/>
          <w:spacing w:val="0"/>
          <w:sz w:val="32"/>
          <w:szCs w:val="32"/>
          <w:lang w:val="en-US" w:eastAsia="zh-CN"/>
        </w:rPr>
        <w:t>一是加大宣传力度。</w:t>
      </w:r>
      <w:r>
        <w:rPr>
          <w:rFonts w:hint="eastAsia" w:hAnsi="仿宋_GB2312" w:cs="仿宋_GB2312"/>
          <w:bCs/>
          <w:spacing w:val="0"/>
          <w:sz w:val="32"/>
          <w:szCs w:val="32"/>
          <w:lang w:val="en-US" w:eastAsia="zh-CN"/>
        </w:rPr>
        <w:t>通过动态报道、深度报道、典型报道等多种形式，并充分运用H5、微视频、微电影等宣传模式，利用慈晓、慈溪发布等新媒体矩阵，形成最强宣传氛围。大力宣传我市人才就业方面的相关政策。积极做好城市形象推介，邀请中央、省市级主流媒体来慈集中采访，全方位讲好慈溪故事。同时，定期赴外举办慈溪就业创业环境推介和校园招聘会，加强慈溪整体形象宣传，招揽各地大学生来慈就业创业。</w:t>
      </w:r>
      <w:r>
        <w:rPr>
          <w:rFonts w:hint="eastAsia" w:hAnsi="仿宋_GB2312" w:cs="仿宋_GB2312"/>
          <w:b/>
          <w:bCs w:val="0"/>
          <w:spacing w:val="0"/>
          <w:sz w:val="32"/>
          <w:szCs w:val="32"/>
          <w:lang w:val="en-US" w:eastAsia="zh-CN"/>
        </w:rPr>
        <w:t>二是保障住房需求。</w:t>
      </w:r>
      <w:r>
        <w:rPr>
          <w:rFonts w:hint="eastAsia" w:hAnsi="仿宋_GB2312" w:cs="仿宋_GB2312"/>
          <w:bCs/>
          <w:spacing w:val="0"/>
          <w:sz w:val="32"/>
          <w:szCs w:val="32"/>
          <w:lang w:val="en-US" w:eastAsia="zh-CN"/>
        </w:rPr>
        <w:t>为丰富大学生安居渠道，落实大学生购房补助，</w:t>
      </w:r>
      <w:r>
        <w:rPr>
          <w:rFonts w:hint="eastAsia" w:ascii="仿宋_GB2312" w:hAnsi="仿宋_GB2312" w:eastAsia="仿宋_GB2312" w:cs="仿宋_GB2312"/>
          <w:b w:val="0"/>
          <w:bCs w:val="0"/>
          <w:spacing w:val="0"/>
          <w:sz w:val="32"/>
          <w:szCs w:val="32"/>
          <w:highlight w:val="none"/>
          <w:lang w:val="en-US" w:eastAsia="zh-CN"/>
        </w:rPr>
        <w:t>定期以优惠价格向青年人才出售产权式人才公寓</w:t>
      </w:r>
      <w:r>
        <w:rPr>
          <w:rFonts w:hint="eastAsia" w:hAnsi="仿宋_GB2312" w:cs="仿宋_GB2312"/>
          <w:b w:val="0"/>
          <w:bCs w:val="0"/>
          <w:spacing w:val="0"/>
          <w:sz w:val="32"/>
          <w:szCs w:val="32"/>
          <w:highlight w:val="none"/>
          <w:lang w:val="en-US" w:eastAsia="zh-CN"/>
        </w:rPr>
        <w:t>。</w:t>
      </w:r>
      <w:r>
        <w:rPr>
          <w:rFonts w:hint="eastAsia" w:hAnsi="仿宋_GB2312" w:cs="仿宋_GB2312"/>
          <w:bCs/>
          <w:spacing w:val="0"/>
          <w:sz w:val="32"/>
          <w:szCs w:val="32"/>
          <w:lang w:val="en-US" w:eastAsia="zh-CN"/>
        </w:rPr>
        <w:t>2021年共</w:t>
      </w:r>
      <w:r>
        <w:rPr>
          <w:rFonts w:hint="eastAsia" w:ascii="仿宋_GB2312" w:hAnsi="仿宋_GB2312" w:eastAsia="仿宋_GB2312" w:cs="仿宋_GB2312"/>
          <w:b w:val="0"/>
          <w:bCs w:val="0"/>
          <w:spacing w:val="0"/>
          <w:sz w:val="32"/>
          <w:szCs w:val="32"/>
          <w:highlight w:val="none"/>
          <w:lang w:val="en-US" w:eastAsia="zh-CN"/>
        </w:rPr>
        <w:t>累计销售</w:t>
      </w:r>
      <w:r>
        <w:rPr>
          <w:rFonts w:hint="eastAsia" w:hAnsi="仿宋_GB2312" w:cs="仿宋_GB2312"/>
          <w:b w:val="0"/>
          <w:bCs w:val="0"/>
          <w:spacing w:val="0"/>
          <w:sz w:val="32"/>
          <w:szCs w:val="32"/>
          <w:highlight w:val="none"/>
          <w:lang w:val="en-US" w:eastAsia="zh-CN"/>
        </w:rPr>
        <w:t>人才公寓</w:t>
      </w:r>
      <w:r>
        <w:rPr>
          <w:rFonts w:hint="eastAsia" w:ascii="仿宋_GB2312" w:hAnsi="仿宋_GB2312" w:eastAsia="仿宋_GB2312" w:cs="仿宋_GB2312"/>
          <w:b w:val="0"/>
          <w:bCs w:val="0"/>
          <w:spacing w:val="0"/>
          <w:sz w:val="32"/>
          <w:szCs w:val="32"/>
          <w:highlight w:val="none"/>
          <w:lang w:val="en-US" w:eastAsia="zh-CN"/>
        </w:rPr>
        <w:t>1185套</w:t>
      </w:r>
      <w:r>
        <w:rPr>
          <w:rFonts w:hint="eastAsia" w:hAnsi="仿宋_GB2312" w:cs="仿宋_GB2312"/>
          <w:bCs/>
          <w:spacing w:val="0"/>
          <w:sz w:val="32"/>
          <w:szCs w:val="32"/>
          <w:lang w:val="en-US" w:eastAsia="zh-CN"/>
        </w:rPr>
        <w:t>。同时，加快保障性租赁住房建设筹集工作，通过增加房源供给、培育市场供应主体、加大政策支持力度等多种措施，建立健全市场规则明晰、政府监管有力、权益保障充分的住房租赁制度体系，努力缓解我市新市民、青年人等群体的住房需求，2021已筹集1.6万套。</w:t>
      </w:r>
      <w:r>
        <w:rPr>
          <w:rFonts w:hint="eastAsia" w:hAnsi="仿宋_GB2312" w:cs="仿宋_GB2312"/>
          <w:b/>
          <w:bCs/>
          <w:spacing w:val="0"/>
          <w:sz w:val="32"/>
          <w:szCs w:val="32"/>
          <w:lang w:val="en-US" w:eastAsia="zh-CN"/>
        </w:rPr>
        <w:t>三</w:t>
      </w:r>
      <w:r>
        <w:rPr>
          <w:rFonts w:hint="eastAsia" w:ascii="仿宋_GB2312" w:hAnsi="仿宋_GB2312" w:eastAsia="仿宋_GB2312" w:cs="仿宋_GB2312"/>
          <w:b/>
          <w:bCs/>
          <w:spacing w:val="0"/>
          <w:sz w:val="32"/>
          <w:szCs w:val="32"/>
          <w:lang w:val="en-US" w:eastAsia="zh-CN"/>
        </w:rPr>
        <w:t>是搭建线上线下服务平台。</w:t>
      </w:r>
      <w:r>
        <w:rPr>
          <w:rFonts w:hint="eastAsia" w:ascii="仿宋_GB2312" w:hAnsi="仿宋_GB2312" w:eastAsia="仿宋_GB2312" w:cs="仿宋_GB2312"/>
          <w:b w:val="0"/>
          <w:bCs w:val="0"/>
          <w:spacing w:val="0"/>
          <w:sz w:val="32"/>
          <w:szCs w:val="32"/>
          <w:lang w:val="en-US" w:eastAsia="zh-CN"/>
        </w:rPr>
        <w:t>建成投用前湾人才大厦，推进上林英才创业园、大学生创业园等青年人才创业创新园区建设，打造就业创业全链支持体系。组建副局级事业单位—慈溪市人才服务中心，专人专业服务人才创业创新，保障人才在慈安居乐业；开发建设工程师创新协同中心、上林英才创业服务网等线上平台，搭建起线上线下相贯通的青年人才创业创新服务体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Cs/>
          <w:spacing w:val="0"/>
          <w:sz w:val="32"/>
          <w:szCs w:val="32"/>
          <w:lang w:val="en-US" w:eastAsia="zh-CN"/>
        </w:rPr>
      </w:pPr>
      <w:r>
        <w:rPr>
          <w:rFonts w:hint="eastAsia" w:ascii="黑体" w:hAnsi="黑体" w:eastAsia="黑体" w:cs="黑体"/>
          <w:bCs/>
          <w:spacing w:val="0"/>
          <w:sz w:val="32"/>
          <w:szCs w:val="32"/>
          <w:lang w:val="en-US" w:eastAsia="zh-CN"/>
        </w:rPr>
        <w:t>二、下步工作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对于代表提出的</w:t>
      </w:r>
      <w:r>
        <w:rPr>
          <w:rFonts w:hint="eastAsia" w:hAnsi="仿宋_GB2312" w:cs="仿宋_GB2312"/>
          <w:sz w:val="32"/>
          <w:szCs w:val="32"/>
          <w:lang w:val="en-US" w:eastAsia="zh-CN"/>
        </w:rPr>
        <w:t>在讲好慈溪故事、加大政策支持、加强校企合作等</w:t>
      </w:r>
      <w:r>
        <w:rPr>
          <w:rFonts w:hint="eastAsia" w:ascii="仿宋_GB2312" w:hAnsi="仿宋_GB2312" w:eastAsia="仿宋_GB2312" w:cs="仿宋_GB2312"/>
          <w:sz w:val="32"/>
          <w:szCs w:val="32"/>
          <w:lang w:eastAsia="zh-CN"/>
        </w:rPr>
        <w:t>方面建议，下一步</w:t>
      </w:r>
      <w:r>
        <w:rPr>
          <w:rFonts w:hint="eastAsia" w:hAnsi="仿宋_GB2312" w:cs="仿宋_GB2312"/>
          <w:sz w:val="32"/>
          <w:szCs w:val="32"/>
          <w:lang w:val="en-US" w:eastAsia="zh-CN"/>
        </w:rPr>
        <w:t>我市</w:t>
      </w:r>
      <w:r>
        <w:rPr>
          <w:rFonts w:hint="eastAsia" w:ascii="仿宋_GB2312" w:hAnsi="仿宋_GB2312" w:eastAsia="仿宋_GB2312" w:cs="仿宋_GB2312"/>
          <w:sz w:val="32"/>
          <w:szCs w:val="32"/>
          <w:lang w:eastAsia="zh-CN"/>
        </w:rPr>
        <w:t>将从以下几方面着手：</w:t>
      </w: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rPr>
          <w:rFonts w:hint="eastAsia"/>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加强政策支持力度。</w:t>
      </w:r>
      <w:r>
        <w:rPr>
          <w:rFonts w:hint="eastAsia" w:hAnsi="仿宋_GB2312" w:cs="仿宋_GB2312"/>
          <w:sz w:val="32"/>
          <w:szCs w:val="32"/>
          <w:lang w:val="en-US" w:eastAsia="zh-CN"/>
        </w:rPr>
        <w:t>继续贯彻落实好</w:t>
      </w:r>
      <w:r>
        <w:rPr>
          <w:rFonts w:hint="eastAsia" w:ascii="仿宋_GB2312" w:hAnsi="仿宋_GB2312" w:eastAsia="仿宋_GB2312" w:cs="仿宋_GB2312"/>
          <w:sz w:val="32"/>
          <w:szCs w:val="32"/>
          <w:lang w:val="en-US" w:eastAsia="zh-CN"/>
        </w:rPr>
        <w:t>高校毕业生在我市就业创业可享受一系列政策优惠</w:t>
      </w:r>
      <w:r>
        <w:rPr>
          <w:rFonts w:hint="eastAsia" w:hAnsi="仿宋_GB2312" w:cs="仿宋_GB2312"/>
          <w:sz w:val="32"/>
          <w:szCs w:val="32"/>
          <w:lang w:val="en-US" w:eastAsia="zh-CN"/>
        </w:rPr>
        <w:t>，如高校毕业生购房补助、就业补助、创业补助等。针对高校毕业生关注的住房问题，</w:t>
      </w:r>
      <w:r>
        <w:rPr>
          <w:rFonts w:hint="eastAsia"/>
          <w:sz w:val="32"/>
          <w:lang w:val="en-US" w:eastAsia="zh-CN"/>
        </w:rPr>
        <w:t>市住建部门已</w:t>
      </w:r>
      <w:r>
        <w:rPr>
          <w:rFonts w:hint="eastAsia" w:ascii="仿宋_GB2312" w:eastAsia="仿宋_GB2312"/>
          <w:sz w:val="32"/>
          <w:lang w:val="en-US" w:eastAsia="zh-CN"/>
        </w:rPr>
        <w:t>拟定《慈溪市加快发展保障性租赁住房实施方案》，为下步保障性租赁住房的具体实施和运营管理提供了政策依据</w:t>
      </w:r>
      <w:r>
        <w:rPr>
          <w:rFonts w:hint="eastAsia"/>
          <w:sz w:val="32"/>
          <w:lang w:val="en-US" w:eastAsia="zh-CN"/>
        </w:rPr>
        <w:t>，</w:t>
      </w:r>
      <w:r>
        <w:rPr>
          <w:rFonts w:hint="eastAsia" w:hAnsi="仿宋_GB2312" w:cs="仿宋_GB2312"/>
          <w:bCs/>
          <w:spacing w:val="0"/>
          <w:sz w:val="32"/>
          <w:szCs w:val="32"/>
          <w:lang w:val="en-US" w:eastAsia="zh-CN"/>
        </w:rPr>
        <w:t>2022年预计筹集</w:t>
      </w:r>
      <w:r>
        <w:rPr>
          <w:rFonts w:hint="eastAsia" w:ascii="仿宋_GB2312" w:eastAsia="仿宋_GB2312"/>
          <w:sz w:val="32"/>
          <w:lang w:val="en-US" w:eastAsia="zh-CN"/>
        </w:rPr>
        <w:t>保障性租赁住房</w:t>
      </w:r>
      <w:r>
        <w:rPr>
          <w:rFonts w:hint="eastAsia" w:hAnsi="仿宋_GB2312" w:cs="仿宋_GB2312"/>
          <w:bCs/>
          <w:spacing w:val="0"/>
          <w:sz w:val="32"/>
          <w:szCs w:val="32"/>
          <w:lang w:val="en-US" w:eastAsia="zh-CN"/>
        </w:rPr>
        <w:t>1万套，计划到2025年建设筹集房源达到4.9万套</w:t>
      </w:r>
      <w:r>
        <w:rPr>
          <w:rFonts w:hint="eastAsia" w:ascii="仿宋_GB2312" w:eastAsia="仿宋_GB2312"/>
          <w:sz w:val="32"/>
          <w:lang w:val="en-US" w:eastAsia="zh-CN"/>
        </w:rPr>
        <w:t>。</w:t>
      </w:r>
      <w:r>
        <w:rPr>
          <w:rFonts w:hint="eastAsia"/>
          <w:sz w:val="32"/>
          <w:lang w:val="en-US" w:eastAsia="zh-CN"/>
        </w:rPr>
        <w:t>同时，很具</w:t>
      </w:r>
      <w:r>
        <w:rPr>
          <w:rFonts w:hint="eastAsia" w:ascii="仿宋_GB2312" w:eastAsia="仿宋_GB2312"/>
          <w:sz w:val="32"/>
          <w:lang w:val="en-US" w:eastAsia="zh-CN"/>
        </w:rPr>
        <w:t>宁波市级层面的共有产权房试点工作</w:t>
      </w:r>
      <w:r>
        <w:rPr>
          <w:rFonts w:hint="eastAsia"/>
          <w:sz w:val="32"/>
          <w:lang w:val="en-US" w:eastAsia="zh-CN"/>
        </w:rPr>
        <w:t>要求</w:t>
      </w:r>
      <w:r>
        <w:rPr>
          <w:rFonts w:hint="eastAsia" w:ascii="仿宋_GB2312" w:eastAsia="仿宋_GB2312"/>
          <w:sz w:val="32"/>
          <w:lang w:val="en-US" w:eastAsia="zh-CN"/>
        </w:rPr>
        <w:t>，我市将根据宁波市级层面的统一部署，及时开展共有产权</w:t>
      </w:r>
      <w:r>
        <w:rPr>
          <w:rFonts w:hint="eastAsia" w:ascii="仿宋_GB2312" w:eastAsia="仿宋_GB2312"/>
          <w:sz w:val="32"/>
          <w:szCs w:val="32"/>
          <w:lang w:val="en-US" w:eastAsia="zh-CN"/>
        </w:rPr>
        <w:t>房建设和保障工作</w:t>
      </w:r>
      <w:r>
        <w:rPr>
          <w:rFonts w:hint="eastAsia"/>
          <w:sz w:val="32"/>
          <w:szCs w:val="32"/>
          <w:lang w:val="en-US" w:eastAsia="zh-CN"/>
        </w:rPr>
        <w:t>，缓解青年人才住房难问题。</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（二）加大城市环境宣传力度。</w:t>
      </w:r>
      <w:r>
        <w:rPr>
          <w:rFonts w:hint="eastAsia" w:ascii="仿宋_GB2312" w:hAnsi="仿宋_GB2312" w:eastAsia="仿宋_GB2312" w:cs="仿宋_GB2312"/>
          <w:sz w:val="32"/>
          <w:szCs w:val="32"/>
          <w:lang w:val="en-US" w:eastAsia="zh-CN"/>
        </w:rPr>
        <w:t>加大青年补贴政策宣传力度，以青年就业较为集中的电商、文创写字楼为重点平台，广泛投放政策宣传展架、播放政策宣传片。利用楼宇现有电子屏、告示栏等设施，加大政策铺开面，提高政策知晓度。进一步发挥“小乐小业”大学生就业创业形象代言人的宣传作用，制作符合青年喜好的卡通动画式宣传短片，用轻松愉快的方式解说政策文件，改变原有的文字难读、难懂、难传播的问题。</w:t>
      </w:r>
    </w:p>
    <w:p>
      <w:pPr>
        <w:pStyle w:val="3"/>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cs="仿宋_GB2312"/>
          <w:sz w:val="32"/>
          <w:szCs w:val="32"/>
          <w:lang w:val="en-US" w:eastAsia="zh-CN"/>
        </w:rPr>
      </w:pPr>
      <w:r>
        <w:rPr>
          <w:rFonts w:hint="eastAsia" w:ascii="楷体" w:hAnsi="楷体" w:eastAsia="楷体" w:cs="楷体"/>
          <w:b/>
          <w:bCs/>
          <w:sz w:val="32"/>
          <w:szCs w:val="32"/>
          <w:lang w:val="en-US" w:eastAsia="zh-CN"/>
        </w:rPr>
        <w:t>（三）推动校政企合作育才。</w:t>
      </w:r>
      <w:r>
        <w:rPr>
          <w:rFonts w:hint="eastAsia" w:ascii="仿宋_GB2312" w:hAnsi="仿宋_GB2312" w:cs="仿宋_GB2312"/>
          <w:sz w:val="32"/>
          <w:szCs w:val="32"/>
          <w:lang w:val="en-US" w:eastAsia="zh-CN"/>
        </w:rPr>
        <w:t>引导在</w:t>
      </w:r>
      <w:r>
        <w:rPr>
          <w:rFonts w:hint="eastAsia" w:ascii="仿宋_GB2312" w:eastAsia="仿宋_GB2312"/>
          <w:sz w:val="32"/>
        </w:rPr>
        <w:t>慈高校紧扣“产业、专业、就业”三业统一，推进与地方政府、企业、行业协会等深度融合，打通教育链与产业链衔接“最后一公里”，不断提升人才培养的地方适切性与整体质量</w:t>
      </w:r>
      <w:r>
        <w:rPr>
          <w:rFonts w:hint="eastAsia" w:ascii="仿宋_GB2312"/>
          <w:sz w:val="32"/>
          <w:lang w:eastAsia="zh-CN"/>
        </w:rPr>
        <w:t>。</w:t>
      </w:r>
      <w:r>
        <w:rPr>
          <w:rFonts w:hint="eastAsia" w:ascii="仿宋_GB2312"/>
          <w:sz w:val="32"/>
          <w:lang w:val="en-US" w:eastAsia="zh-CN"/>
        </w:rPr>
        <w:t>不断</w:t>
      </w:r>
      <w:r>
        <w:rPr>
          <w:rFonts w:hint="eastAsia" w:ascii="仿宋_GB2312" w:hAnsi="仿宋_GB2312" w:cs="仿宋_GB2312"/>
          <w:sz w:val="32"/>
          <w:szCs w:val="32"/>
          <w:lang w:val="en-US" w:eastAsia="zh-CN"/>
        </w:rPr>
        <w:t>创新活动举办形式，联合宁波大学科学技术学院举办职业规划大赛，将个人未来发展与企业发展有机结合，进而提升学子对我市企业的了解度、好高度，提升学子留慈率。举办青年大学生创业大赛，将大赛作为发掘优秀项目、推动创业帮扶、引导项目落地的载体，引导青年回乡创业，充分营造活跃的双创氛围。适时加入项目辅导、专家点评指导等环节，帮助青年更加充分灵活运用自身文化、技能、特长，让青年在竞赛中得到指导、得到锻炼，最终精准创业目标、明确创业模式，提高创业成功率，实现人生价值。</w:t>
      </w:r>
    </w:p>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cs="仿宋_GB2312"/>
          <w:sz w:val="32"/>
          <w:szCs w:val="32"/>
          <w:lang w:val="en-US" w:eastAsia="zh-CN"/>
        </w:rPr>
      </w:pPr>
      <w:bookmarkStart w:id="0" w:name="_GoBack"/>
      <w:bookmarkEnd w:id="0"/>
    </w:p>
    <w:p>
      <w:pPr>
        <w:spacing w:line="560" w:lineRule="exact"/>
        <w:ind w:firstLine="1600" w:firstLineChars="500"/>
        <w:jc w:val="right"/>
        <w:rPr>
          <w:rFonts w:hint="eastAsia" w:ascii="仿宋_GB2312" w:hAnsi="仿宋_GB2312" w:eastAsia="仿宋_GB2312" w:cs="仿宋_GB2312"/>
          <w:color w:val="000000"/>
          <w:spacing w:val="0"/>
          <w:sz w:val="32"/>
          <w:szCs w:val="32"/>
        </w:rPr>
      </w:pPr>
    </w:p>
    <w:p>
      <w:pPr>
        <w:spacing w:line="560" w:lineRule="exact"/>
        <w:ind w:firstLine="1600" w:firstLineChars="500"/>
        <w:jc w:val="right"/>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慈溪市人力资源和社会保障局</w:t>
      </w:r>
    </w:p>
    <w:p>
      <w:pPr>
        <w:keepNext w:val="0"/>
        <w:keepLines w:val="0"/>
        <w:pageBreakBefore w:val="0"/>
        <w:kinsoku/>
        <w:wordWrap/>
        <w:overflowPunct/>
        <w:topLinePunct w:val="0"/>
        <w:autoSpaceDE/>
        <w:autoSpaceDN/>
        <w:bidi w:val="0"/>
        <w:adjustRightInd/>
        <w:snapToGrid w:val="0"/>
        <w:spacing w:line="520" w:lineRule="exact"/>
        <w:ind w:firstLine="640" w:firstLineChars="200"/>
        <w:jc w:val="center"/>
        <w:textAlignment w:val="auto"/>
        <w:rPr>
          <w:lang w:val="en-US" w:eastAsia="zh-CN"/>
        </w:rPr>
      </w:pPr>
      <w:r>
        <w:rPr>
          <w:rFonts w:hint="eastAsia" w:ascii="仿宋_GB2312" w:hAnsi="仿宋_GB2312" w:eastAsia="仿宋_GB2312" w:cs="仿宋_GB2312"/>
          <w:spacing w:val="0"/>
          <w:sz w:val="32"/>
          <w:szCs w:val="32"/>
          <w:lang w:val="en-US" w:eastAsia="zh-CN"/>
        </w:rPr>
        <w:t xml:space="preserve">                        </w:t>
      </w:r>
      <w:r>
        <w:rPr>
          <w:rFonts w:hint="eastAsia" w:hAnsi="仿宋_GB2312" w:cs="仿宋_GB2312"/>
          <w:spacing w:val="0"/>
          <w:sz w:val="32"/>
          <w:szCs w:val="32"/>
          <w:lang w:val="en-US" w:eastAsia="zh-CN"/>
        </w:rPr>
        <w:t>2022年7</w:t>
      </w:r>
      <w:r>
        <w:rPr>
          <w:rFonts w:hint="eastAsia" w:ascii="仿宋_GB2312" w:hAnsi="仿宋_GB2312" w:eastAsia="仿宋_GB2312" w:cs="仿宋_GB2312"/>
          <w:spacing w:val="0"/>
          <w:sz w:val="32"/>
          <w:szCs w:val="32"/>
          <w:lang w:val="en-US" w:eastAsia="zh-CN"/>
        </w:rPr>
        <w:t>月</w:t>
      </w:r>
      <w:r>
        <w:rPr>
          <w:rFonts w:hint="eastAsia" w:hAnsi="仿宋_GB2312" w:cs="仿宋_GB2312"/>
          <w:spacing w:val="0"/>
          <w:sz w:val="32"/>
          <w:szCs w:val="32"/>
          <w:lang w:val="en-US" w:eastAsia="zh-CN"/>
        </w:rPr>
        <w:t>6</w:t>
      </w:r>
      <w:r>
        <w:rPr>
          <w:rFonts w:hint="eastAsia" w:ascii="仿宋_GB2312" w:hAnsi="仿宋_GB2312" w:eastAsia="仿宋_GB2312" w:cs="仿宋_GB2312"/>
          <w:spacing w:val="0"/>
          <w:sz w:val="32"/>
          <w:szCs w:val="32"/>
          <w:lang w:val="en-US" w:eastAsia="zh-CN"/>
        </w:rPr>
        <w:t>日</w:t>
      </w: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抄　　送：市人大代表工委，市政府办公室，市教育局、</w:t>
      </w:r>
    </w:p>
    <w:p>
      <w:pPr>
        <w:keepNext w:val="0"/>
        <w:keepLines w:val="0"/>
        <w:pageBreakBefore w:val="0"/>
        <w:widowControl w:val="0"/>
        <w:kinsoku/>
        <w:wordWrap/>
        <w:overflowPunct/>
        <w:topLinePunct w:val="0"/>
        <w:autoSpaceDE/>
        <w:autoSpaceDN/>
        <w:bidi w:val="0"/>
        <w:adjustRightInd/>
        <w:snapToGrid/>
        <w:spacing w:line="560" w:lineRule="exact"/>
        <w:ind w:left="2234" w:leftChars="532" w:firstLine="0" w:firstLineChars="0"/>
        <w:textAlignment w:val="auto"/>
        <w:rPr>
          <w:rFonts w:hint="eastAsia" w:ascii="仿宋_GB2312" w:eastAsia="仿宋_GB2312"/>
          <w:sz w:val="32"/>
        </w:rPr>
      </w:pPr>
      <w:r>
        <w:rPr>
          <w:rFonts w:hint="eastAsia" w:ascii="仿宋_GB2312" w:eastAsia="仿宋_GB2312"/>
          <w:sz w:val="32"/>
        </w:rPr>
        <w:t>市住建局、市委宣传部</w:t>
      </w:r>
      <w:r>
        <w:rPr>
          <w:rFonts w:hint="eastAsia"/>
          <w:sz w:val="32"/>
          <w:lang w:eastAsia="zh-CN"/>
        </w:rPr>
        <w:t>、白沙路街道人大工作委员会</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lang w:eastAsia="zh-CN"/>
        </w:rPr>
      </w:pPr>
      <w:r>
        <w:rPr>
          <w:rFonts w:hint="eastAsia" w:ascii="仿宋_GB2312" w:eastAsia="仿宋_GB2312"/>
          <w:sz w:val="32"/>
        </w:rPr>
        <w:t>　　联 系 人：</w:t>
      </w:r>
      <w:r>
        <w:rPr>
          <w:rFonts w:hint="eastAsia"/>
          <w:sz w:val="32"/>
          <w:lang w:eastAsia="zh-CN"/>
        </w:rPr>
        <w:t>方洁</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eastAsia="仿宋_GB2312"/>
          <w:sz w:val="32"/>
        </w:rPr>
        <w:t>　　联系电话：</w:t>
      </w:r>
      <w:r>
        <w:rPr>
          <w:rFonts w:hint="eastAsia"/>
          <w:sz w:val="32"/>
          <w:lang w:val="en-US" w:eastAsia="zh-CN"/>
        </w:rPr>
        <w:t>63938057</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仿宋_GB2312"/>
                        <w:sz w:val="24"/>
                        <w:szCs w:val="24"/>
                        <w:lang w:val="en-US" w:eastAsia="zh-CN"/>
                      </w:rPr>
                    </w:pPr>
                    <w:r>
                      <w:rPr>
                        <w:rFonts w:hint="eastAsia" w:ascii="宋体" w:hAnsi="宋体" w:eastAsia="宋体" w:cs="宋体"/>
                        <w:sz w:val="24"/>
                        <w:szCs w:val="24"/>
                      </w:rPr>
                      <w:t>－</w:t>
                    </w:r>
                    <w:r>
                      <w:rPr>
                        <w:rFonts w:hint="eastAsia" w:eastAsia="宋体"/>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t xml:space="preserve"> </w:t>
                    </w:r>
                    <w:r>
                      <w:rPr>
                        <w:rFonts w:hint="eastAsia" w:ascii="宋体" w:hAnsi="宋体" w:eastAsia="宋体" w:cs="宋体"/>
                        <w:sz w:val="24"/>
                        <w:szCs w:val="2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16011"/>
    <w:multiLevelType w:val="singleLevel"/>
    <w:tmpl w:val="DCF160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DY1MTFiYjMyZGJiZjA4ZmNlN2NmZmNkOWE0YWYifQ=="/>
  </w:docVars>
  <w:rsids>
    <w:rsidRoot w:val="425A3C96"/>
    <w:rsid w:val="425A3C96"/>
    <w:rsid w:val="7DED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42"/>
      <w:szCs w:val="4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ind w:left="420" w:leftChars="200"/>
    </w:pPr>
  </w:style>
  <w:style w:type="paragraph" w:styleId="3">
    <w:name w:val="envelope return"/>
    <w:basedOn w:val="1"/>
    <w:qFormat/>
    <w:uiPriority w:val="0"/>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qFormat/>
    <w:uiPriority w:val="0"/>
    <w:pPr>
      <w:spacing w:after="0"/>
      <w:ind w:left="200" w:firstLine="420"/>
    </w:pPr>
    <w:rPr>
      <w:sz w:val="24"/>
    </w:rPr>
  </w:style>
  <w:style w:type="paragraph" w:customStyle="1" w:styleId="9">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2022-07-06T07:51:00Z</dcterms:created>
  <dc:creator>顾雄辉</dc:creator>
  <cp:lastModifiedBy>ldj</cp:lastModifiedBy>
  <cp:lastPrinted>2022-07-06T08:05:00Z</cp:lastPrinted>
  <dcterms:modified xsi:type="dcterms:W3CDTF">2022-07-07T00:56:21Z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55407ECDDB1E447BA18431DBDFDB47EA</vt:lpwstr>
  </property>
</Properties>
</file>