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3</w:t>
      </w:r>
      <w:r>
        <w:rPr>
          <w:rFonts w:hint="eastAsia" w:ascii="仿宋_GB2312" w:eastAsia="仿宋_GB2312"/>
          <w:spacing w:val="-8"/>
          <w:sz w:val="32"/>
          <w:szCs w:val="32"/>
        </w:rPr>
        <w:t>〕</w:t>
      </w:r>
      <w:r>
        <w:rPr>
          <w:rFonts w:hint="eastAsia" w:ascii="仿宋_GB2312" w:eastAsia="仿宋_GB2312"/>
          <w:spacing w:val="-8"/>
          <w:sz w:val="32"/>
          <w:szCs w:val="32"/>
          <w:lang w:val="en-US" w:eastAsia="zh-CN"/>
        </w:rPr>
        <w:t>26</w:t>
      </w:r>
      <w:r>
        <w:rPr>
          <w:rFonts w:hint="eastAsia" w:ascii="仿宋_GB2312" w:eastAsia="仿宋_GB2312"/>
          <w:spacing w:val="-8"/>
          <w:sz w:val="32"/>
          <w:szCs w:val="32"/>
        </w:rPr>
        <w:t>号                      签发人：</w:t>
      </w:r>
      <w:r>
        <w:rPr>
          <w:rFonts w:hint="eastAsia" w:ascii="仿宋_GB2312" w:eastAsia="仿宋_GB2312"/>
          <w:spacing w:val="-8"/>
          <w:sz w:val="32"/>
          <w:szCs w:val="32"/>
          <w:lang w:eastAsia="zh-CN"/>
        </w:rPr>
        <w:t>冯</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二</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204</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ascii="仿宋_GB2312" w:hAnsi="Tahoma" w:eastAsia="仿宋_GB2312" w:cs="仿宋_GB2312"/>
          <w:color w:val="000000"/>
          <w:sz w:val="32"/>
          <w:szCs w:val="32"/>
        </w:rPr>
        <w:t>王家乙代表：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关于加强新冠危重症防治的建议》收悉，2023年初新冠病毒感染在全市范围内迅速波及，短时间内造成药物短缺、医疗挤兑现象，而危重症患者也急剧增多。为了防治新冠危重症，我局主要开展了以下工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一、成立慈溪市危重症新冠病毒感染者医疗救治工作领导小组。 为进一步确保防控措施调整转段的平稳有序，切实加强对医疗救治工作的组织领导，根据国家、省和宁波市有关政策要求，市卫健局代拟了《关于成立慈溪市危重症新冠病毒感染者医疗救治工作领导小组的通知》，领导小组办公室设在市卫生健康局，领导小组下设医疗救治指挥专班、医疗物资保障专班、120指挥调度专班、非急救转运专班、宣传舆情专班、关心关爱工作专班六个工作专班，由相关职能部门牵头负责，推动各项工作落实落细。</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整合医疗资源优化收治流程强化重症患者救治。一是各二级以上医院根据病人数量及时扩展急诊室区域，增设诊间，同时在急诊室以外场地开辟急诊非抢救人员就诊区域，增加急诊医护力量配备。急诊科配备一定数量的担架和转运床，用于急诊重症患者留观、分诊，避免120救护车担架压床。建立急诊患者院内快速疏散流转机制，快速将急诊重症患者收入病房，消除急诊堵点，避免急诊压床、压担架。建立急诊患者院内快速疏散流转机制，科学合理分诊，引导非急诊患者到普通门诊就诊，建立70岁以上老年人急诊就诊单独通道，确保重点人群快速得到诊疗，确保抢救室患者及时收入病房，对不符合收治条件的患者做好解释和告知工作回家隔离观察，由各镇卫生院（社区卫生服务中心）家庭医生开展随访，必要时及时就诊。二是各市级医院对住院患者进行分类处置，符合出院标准的尽快出院。其他住院患者完成诊治后尽快出院。除急危重症、肿瘤放化疗等患者外，原则上非新冠患者暂缓收治入院。同时对住院病区进行整合，统筹全院床位资源，不再区分内、外科收治新冠患者。建立内科外科科间协作模式，全院医务人员组建混编的医疗团队，承担医疗救治任务，尽快达到核定床位数，实现“应收尽收”“应治尽治”，同时符合出院标准的尽快出院加快床位周转。各医疗健康集团充分发挥医共体作用，统筹床位、人员、设备、药物资源，通过人员下沉、远程医疗等方式，加强对各分院的技术指导，有床位设置的各镇卫生院（社区卫生服务中心）加快开设住院服务实现“应收尽收”“应治尽治”，提高基层医疗机构收治能力，缓解了市级医院的压力。三是市人民医院按照“重症治疗综合（ICU）床位数量不少于实际开放床位总数的4%和可转换ICU床位数量不少于实际开放床位总数的4%”的目标，配置综合ICU床位和可转化 ICU床位配置确保投入使用，同时在此基础上为进一步加强医院重症能力建设，其他二级以上医院按照“重症治疗综合ICU床位数量设置不少于实际开放床位总数的2%”的目标，同时配备一定数量的可转化ICU床位。2023年已到位资金2000万元，用于定点治疗医疗医院慈溪市人民医院集中配备40张ICU床位。各单位加强了非ICU专业医务人员的培训工作，培训必考核，对于关键技术如呼吸机的使用、俯卧位的氧疗等，确保每一项技术人人考核合格。四是各镇卫生院（社区卫生服务中心）延长发热诊室的服务时间，确保急诊24小时开放，保障夜间急诊病人能就近就医，有床位的卫生院（社区卫生服务中心）全面收治住院患者，切实做好居家隔离患者的定期随访和医疗救治，必要时提交市级专家组会诊。组建的市级专家组对各医院提交的会诊申请及时开展“线上会诊”或“云会诊”，明确下一步诊疗方案并进行科学合理的分流（居家隔离治疗或收治入院）。各镇卫生院（社区卫生服务中心）指夹式血氧仪配备至少20只，根据病情为重点人群监测血氧饱和度等，定期进行健康监测和巡查服务。有条件的设置了氧疗区，为有需要的病人提供充氧和吸氧服务。五是各医院严格落实首诊负责制，全面压实重症危重症救治责任，对重症患者早监测、早预警、早干预，尽最大可能降低重症率、病亡率。加强医院重症能力建设，加快重症监护医务人员团队的扩容和能力提升，守好市域内重症救治的第一道关口。各市级医院加快重症医疗资源的准备，储备重症救治设施药品，重点药品按照不少于日最高使用量的5-10倍储备三个月。</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快速启动120扩容提高转运能力。一是加快120硬件设施和人员扩容，将服务能力扩容到日常5倍以上。加快做好接警线路和调度席位等硬件设施扩容，会同电信等运营商做好预案，确保急救电话畅通，保障危重症患者救治需求。二是按照“每3万人口1辆的标准配备救护车”的要求配足救护车辆，并提高救护车车载监护仪、除颤仪、呼吸机等配置，确保市域内一定数量救护车具备转运重型危重型患者的能力。三是做好人员储备和相关培训工作，多渠道扩充驾驶员、担架工、接警人员等人员数量，提前做好相关培训工作。四是加强120和各医疗的衔接协调，确保快速转运、快速收治。　</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四、加强药品区域协同合理分配。一是各医院做好药品使用量监测和需求量统计工作，及时准确上报相关需求信息。药品分配原则向发热门诊（诊室）工作量比较大的医院倾斜。二是医疗健康集团要加强总院和成员单位之间内部统筹，拿出一定比例药品分配给成员单位，确保镇卫生院（街道社区卫生服务中心）发热诊室能正常接诊患者。同时分配时兼顾村卫生室、个体诊所等医疗机构用药需求，切实发挥这类医疗机构分流患者的作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五、重点关注老年人群健康管理和医疗救治工作。一是开展重点人群健康调查。建立医社联动机制，充分发挥网格化组织作用，开展重点人群排摸工作，采用多种形式摸清辖区老年人健康</w:t>
      </w:r>
      <w:bookmarkStart w:id="0" w:name="_GoBack"/>
      <w:bookmarkEnd w:id="0"/>
      <w:r>
        <w:rPr>
          <w:rFonts w:hint="eastAsia" w:ascii="仿宋_GB2312" w:hAnsi="Tahoma" w:eastAsia="仿宋_GB2312" w:cs="仿宋_GB2312"/>
          <w:color w:val="000000"/>
          <w:sz w:val="32"/>
          <w:szCs w:val="32"/>
        </w:rPr>
        <w:t>状况，按人员风险类型做好红、黄、绿三级分类，加强医疗知识宣传、居家治疗指导、健康监测设备储备等工作。二是开展老年人健康随访。充分发挥家庭医生团队作用。对全市标注红、黄色的老年人，开展一次电话随访，对老年人开展新冠防治知识和新冠疫苗接种工作的宣传教育，并下发签约家庭医生联系方式，供有需要的老年人健康咨询。三是针对养老院及老年人群、孕产妇已经由各镇（街道）通过网格化摸清底数，开展三色管理，加强日常巡诊和健康监测，出现发热等不适情况及时进行会诊判断，各市级医院开通绿色通道优先诊疗。四是对重症（危重症）人群出院后属地卫生院（社区卫生服务中心）家庭医师要建立随访和巡诊机制，定期开展健康监测，出现病情加重要及时转诊救治。</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感谢您对我市卫生健康工作的关心和支持！</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2023年6月</w:t>
      </w:r>
      <w:r>
        <w:rPr>
          <w:rFonts w:hint="eastAsia" w:ascii="仿宋_GB2312" w:hAnsi="Tahoma" w:eastAsia="仿宋_GB2312" w:cs="仿宋_GB2312"/>
          <w:color w:val="000000"/>
          <w:sz w:val="32"/>
          <w:szCs w:val="32"/>
          <w:lang w:val="en-US" w:eastAsia="zh-CN"/>
        </w:rPr>
        <w:t>19</w:t>
      </w:r>
      <w:r>
        <w:rPr>
          <w:rFonts w:hint="eastAsia" w:ascii="仿宋_GB2312" w:hAnsi="Tahoma" w:eastAsia="仿宋_GB2312" w:cs="仿宋_GB2312"/>
          <w:color w:val="000000"/>
          <w:sz w:val="32"/>
          <w:szCs w:val="32"/>
        </w:rPr>
        <w:t>日</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抄　　送：市人大代表工委，市政府办公室，市财政局，观海卫镇人大主席团。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 系 人：陆益</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联系电话：63829193</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CEACED-F8DD-408E-BD0F-30191AA157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3BC9CFB6-43F8-4E18-ACE3-619D2D81C627}"/>
  </w:font>
  <w:font w:name="仿宋">
    <w:panose1 w:val="02010609060101010101"/>
    <w:charset w:val="86"/>
    <w:family w:val="modern"/>
    <w:pitch w:val="default"/>
    <w:sig w:usb0="800002BF" w:usb1="38CF7CFA" w:usb2="00000016" w:usb3="00000000" w:csb0="00040001" w:csb1="00000000"/>
    <w:embedRegular r:id="rId3" w:fontKey="{99402AB1-5441-4423-AF25-2CD8770A5478}"/>
  </w:font>
  <w:font w:name="方正小标宋简体">
    <w:panose1 w:val="02000000000000000000"/>
    <w:charset w:val="86"/>
    <w:family w:val="auto"/>
    <w:pitch w:val="default"/>
    <w:sig w:usb0="00000001" w:usb1="080E0000" w:usb2="00000000" w:usb3="00000000" w:csb0="00040000" w:csb1="00000000"/>
    <w:embedRegular r:id="rId4" w:fontKey="{F755D30F-DE39-4086-9B46-724421742BA8}"/>
  </w:font>
  <w:font w:name="华文中宋">
    <w:panose1 w:val="02010600040101010101"/>
    <w:charset w:val="86"/>
    <w:family w:val="auto"/>
    <w:pitch w:val="default"/>
    <w:sig w:usb0="00000287" w:usb1="080F0000" w:usb2="00000000" w:usb3="00000000" w:csb0="0004009F" w:csb1="DFD70000"/>
    <w:embedRegular r:id="rId5" w:fontKey="{119AC0EB-518C-49AB-B0DB-55762D4AC458}"/>
  </w:font>
  <w:font w:name="仿宋_GB2312">
    <w:panose1 w:val="02010609030101010101"/>
    <w:charset w:val="86"/>
    <w:family w:val="modern"/>
    <w:pitch w:val="default"/>
    <w:sig w:usb0="00000001" w:usb1="080E0000" w:usb2="00000000" w:usb3="00000000" w:csb0="00040000" w:csb1="00000000"/>
    <w:embedRegular r:id="rId6" w:fontKey="{1F2F1FD6-43FD-4C34-B8E7-C062FD664F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39E4A45"/>
    <w:rsid w:val="04843E9F"/>
    <w:rsid w:val="05947DAD"/>
    <w:rsid w:val="05F82859"/>
    <w:rsid w:val="060D53EA"/>
    <w:rsid w:val="0706147B"/>
    <w:rsid w:val="09711B1D"/>
    <w:rsid w:val="09B969D4"/>
    <w:rsid w:val="0A137491"/>
    <w:rsid w:val="0B8853FF"/>
    <w:rsid w:val="0C3626C5"/>
    <w:rsid w:val="0DA372D9"/>
    <w:rsid w:val="0E88478A"/>
    <w:rsid w:val="0F0379D5"/>
    <w:rsid w:val="10772EEB"/>
    <w:rsid w:val="11512634"/>
    <w:rsid w:val="120518EC"/>
    <w:rsid w:val="14F5072A"/>
    <w:rsid w:val="15D75138"/>
    <w:rsid w:val="17406937"/>
    <w:rsid w:val="19601CC8"/>
    <w:rsid w:val="1C8643DE"/>
    <w:rsid w:val="1DE20444"/>
    <w:rsid w:val="20CF6CA7"/>
    <w:rsid w:val="23C218BC"/>
    <w:rsid w:val="2B0B6F5B"/>
    <w:rsid w:val="2CBD7291"/>
    <w:rsid w:val="2F4D5538"/>
    <w:rsid w:val="313039AA"/>
    <w:rsid w:val="31D423FB"/>
    <w:rsid w:val="34A6539F"/>
    <w:rsid w:val="36CE275B"/>
    <w:rsid w:val="396828C4"/>
    <w:rsid w:val="3B3910D3"/>
    <w:rsid w:val="3C5A2757"/>
    <w:rsid w:val="3CB11F68"/>
    <w:rsid w:val="3DA5257E"/>
    <w:rsid w:val="405C18BB"/>
    <w:rsid w:val="40BA5DBA"/>
    <w:rsid w:val="40FF5388"/>
    <w:rsid w:val="46C30047"/>
    <w:rsid w:val="47AC4B4A"/>
    <w:rsid w:val="48227A9A"/>
    <w:rsid w:val="496F1856"/>
    <w:rsid w:val="49EA20FA"/>
    <w:rsid w:val="4A3E653E"/>
    <w:rsid w:val="4AAF44D0"/>
    <w:rsid w:val="4CFD1505"/>
    <w:rsid w:val="4D8D638D"/>
    <w:rsid w:val="4DF5511C"/>
    <w:rsid w:val="4E066744"/>
    <w:rsid w:val="4EA9451D"/>
    <w:rsid w:val="50381A57"/>
    <w:rsid w:val="50B65CAE"/>
    <w:rsid w:val="51717A3A"/>
    <w:rsid w:val="549C3818"/>
    <w:rsid w:val="54F31B05"/>
    <w:rsid w:val="598362D0"/>
    <w:rsid w:val="5AF2487E"/>
    <w:rsid w:val="5E0A534A"/>
    <w:rsid w:val="601560EB"/>
    <w:rsid w:val="60610C35"/>
    <w:rsid w:val="60947CDB"/>
    <w:rsid w:val="624512DC"/>
    <w:rsid w:val="641818BF"/>
    <w:rsid w:val="656D4317"/>
    <w:rsid w:val="677B4F2A"/>
    <w:rsid w:val="69FA0156"/>
    <w:rsid w:val="6A914479"/>
    <w:rsid w:val="6BAC6F97"/>
    <w:rsid w:val="6C0A26CE"/>
    <w:rsid w:val="6D654D9E"/>
    <w:rsid w:val="6F301492"/>
    <w:rsid w:val="74D90B65"/>
    <w:rsid w:val="759B0971"/>
    <w:rsid w:val="75C94BFC"/>
    <w:rsid w:val="762A7377"/>
    <w:rsid w:val="7634303B"/>
    <w:rsid w:val="77B007A0"/>
    <w:rsid w:val="79F22191"/>
    <w:rsid w:val="7AA77610"/>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FollowedHyperlink"/>
    <w:basedOn w:val="7"/>
    <w:semiHidden/>
    <w:unhideWhenUsed/>
    <w:qFormat/>
    <w:uiPriority w:val="99"/>
    <w:rPr>
      <w:rFonts w:hint="default" w:ascii="Tahoma" w:hAnsi="Tahoma" w:eastAsia="Tahoma" w:cs="Tahoma"/>
      <w:color w:val="003C93"/>
      <w:u w:val="none"/>
    </w:rPr>
  </w:style>
  <w:style w:type="character" w:styleId="9">
    <w:name w:val="Hyperlink"/>
    <w:basedOn w:val="7"/>
    <w:semiHidden/>
    <w:unhideWhenUsed/>
    <w:qFormat/>
    <w:uiPriority w:val="99"/>
    <w:rPr>
      <w:rFonts w:hint="eastAsia" w:ascii="Tahoma" w:hAnsi="Tahoma" w:eastAsia="Tahoma" w:cs="Tahoma"/>
      <w:color w:val="003C93"/>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2457</Words>
  <Characters>2555</Characters>
  <Lines>14</Lines>
  <Paragraphs>4</Paragraphs>
  <TotalTime>37</TotalTime>
  <ScaleCrop>false</ScaleCrop>
  <LinksUpToDate>false</LinksUpToDate>
  <CharactersWithSpaces>2722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绿萝58</cp:lastModifiedBy>
  <cp:lastPrinted>2023-06-19T07:06:32Z</cp:lastPrinted>
  <dcterms:modified xsi:type="dcterms:W3CDTF">2023-06-19T07:06:48Z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66F3BDA5863C4B02AD0F555149F15AFA_12</vt:lpwstr>
  </property>
</Properties>
</file>