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A</w:t>
      </w:r>
      <w:bookmarkStart w:id="0" w:name="_GoBack"/>
      <w:bookmarkEnd w:id="0"/>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hint="eastAsia" w:ascii="仿宋_GB2312" w:eastAsia="仿宋_GB2312"/>
          <w:spacing w:val="-8"/>
          <w:sz w:val="32"/>
          <w:szCs w:val="32"/>
          <w:lang w:eastAsia="zh-CN"/>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3</w:t>
      </w:r>
      <w:r>
        <w:rPr>
          <w:rFonts w:hint="eastAsia" w:ascii="仿宋_GB2312" w:eastAsia="仿宋_GB2312"/>
          <w:spacing w:val="-8"/>
          <w:sz w:val="32"/>
          <w:szCs w:val="32"/>
        </w:rPr>
        <w:t>〕</w:t>
      </w:r>
      <w:r>
        <w:rPr>
          <w:rFonts w:hint="eastAsia" w:ascii="仿宋_GB2312" w:eastAsia="仿宋_GB2312"/>
          <w:spacing w:val="-8"/>
          <w:sz w:val="32"/>
          <w:szCs w:val="32"/>
          <w:lang w:val="en-US" w:eastAsia="zh-CN"/>
        </w:rPr>
        <w:t>36</w:t>
      </w:r>
      <w:r>
        <w:rPr>
          <w:rFonts w:hint="eastAsia" w:ascii="仿宋_GB2312" w:eastAsia="仿宋_GB2312"/>
          <w:spacing w:val="-8"/>
          <w:sz w:val="32"/>
          <w:szCs w:val="32"/>
        </w:rPr>
        <w:t>号                      签发人：</w:t>
      </w:r>
      <w:r>
        <w:rPr>
          <w:rFonts w:hint="eastAsia" w:ascii="仿宋_GB2312" w:eastAsia="仿宋_GB2312"/>
          <w:spacing w:val="-8"/>
          <w:sz w:val="32"/>
          <w:szCs w:val="32"/>
          <w:lang w:eastAsia="zh-CN"/>
        </w:rPr>
        <w:t>冯</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lang w:eastAsia="zh-CN"/>
        </w:rPr>
        <w:t>军</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w:t>
      </w:r>
      <w:r>
        <w:rPr>
          <w:rFonts w:hint="eastAsia" w:ascii="方正小标宋简体" w:hAnsi="方正小标宋简体" w:eastAsia="方正小标宋简体" w:cs="方正小标宋简体"/>
          <w:color w:val="000000"/>
          <w:sz w:val="44"/>
          <w:szCs w:val="44"/>
          <w:lang w:eastAsia="zh-CN"/>
        </w:rPr>
        <w:t>二</w:t>
      </w:r>
      <w:r>
        <w:rPr>
          <w:rFonts w:hint="eastAsia" w:ascii="方正小标宋简体" w:hAnsi="方正小标宋简体" w:eastAsia="方正小标宋简体" w:cs="方正小标宋简体"/>
          <w:color w:val="000000"/>
          <w:sz w:val="44"/>
          <w:szCs w:val="44"/>
        </w:rPr>
        <w:t>次会议第</w:t>
      </w:r>
      <w:r>
        <w:rPr>
          <w:rFonts w:hint="eastAsia" w:ascii="方正小标宋简体" w:hAnsi="方正小标宋简体" w:eastAsia="方正小标宋简体" w:cs="方正小标宋简体"/>
          <w:color w:val="000000"/>
          <w:sz w:val="44"/>
          <w:szCs w:val="44"/>
          <w:lang w:val="en-US" w:eastAsia="zh-CN"/>
        </w:rPr>
        <w:t>28</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rPr>
      </w:pPr>
      <w:r>
        <w:rPr>
          <w:rFonts w:ascii="仿宋_GB2312" w:hAnsi="Tahoma" w:eastAsia="仿宋_GB2312" w:cs="仿宋_GB2312"/>
          <w:color w:val="000000"/>
          <w:sz w:val="32"/>
          <w:szCs w:val="32"/>
        </w:rPr>
        <w:t>徐金苗代表：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您提出的《关于加强农村医疗卫生体系建设的建议》收悉，建议中指出了疫情形势下，农村医疗卫生体系建设中存在的一些问题与短板。同时提出了三点宝贵的建议，经认真研究办理，现答复如下：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为有效应对疫情感染高峰，有力提升医疗救治能力，确保患者“应治尽治”“应收尽收”，构建科学有序的就医秩序，避免造成医疗资源过度挤兑、社会面恐慌等问题，本着“针对当下、放眼长远”的考虑，为此我局做了以下几方面工作：</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一、加快构建新冠患者分级诊疗体系。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一）按照“健康监测、分类管理、高效救治”的原则，科学统筹现有医疗资源，建立健全定点医院、亚定点医院、乡镇卫生院、村卫生室四级医疗就诊转诊体系。根据疫情发展形势，根据国家最新关于医疗救治工作的要求开展分级分类救治工作，对新冠阳性无症状感染者及轻症居家隔离治疗、新冠普通型具有重症风险因素的优先收治到亚定点医院救治、重症患者收治到定点医院救治、危重症倾向的患者及时提交宁波专家组会诊转运到宁波定点医院方桥院区集中救治。疫情防控转段实施“乙类乙管”政策调整后应对第一波感染高峰期间，所有二级以上医院全面收治以专科疾病及冬季常见呼吸道、消化道疾病或慢性病、基础性疾病为主就诊伴随新冠阳性患者，市级医院对现有住院患者进行分类处置，符合出院标准的尽快出院。其他住院患者完成诊治后尽快出院。除急危重症、肿瘤放化疗等患者外，原则上非新冠患者暂缓收治入院。同时对住院病区要进行整合，统筹全院床位资源，不再区分内、外科收治新冠患者。2023年3月市龙山医院顺利通过二级甲等综合医院省级专家评审，对医院管理、医院服务、医疗质量安全管理与持续改进、制度落实和过程管理等方面进行了多层次、多维度、全方位的检查，得到了专家的高度评价与肯定。市龙山医院二期工程项目拟新建综合楼及附属用房等总面积30646平方米，新增床位300张。自2021年动工，进展顺利，目前主体施工已完成，进入装修阶段，力争年底竣工，其中ICU重症监护病房位于二期住院综合楼三楼，面积1399.33㎡，包括双人间2间、单人间2间、大厅12床，合计床位18张。近年来龙山医院发挥医共体牵头医院的引领带动作用，2021年下沉专家分院门诊接诊累计8137人次，开展手术54例，2022年下沉专家分院门诊接诊累计9887人次，开展手术89例。新冠病毒感染期间期间对分院患者进行会诊指导56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第一时间做好发热门诊扩容和服务能力提升工作。1、发热门诊（诊室）按照服务能力翻三倍的目标，挖掘潜力、优化布局，做好场地设置、诊间增设、人员储备。8家发热门诊扩容后增设诊间23间达总数43间，17家发热诊室扩容后增设诊间20间达总数37间，第一波疫情高峰2022年12月10日至2023年1月30日全市发热门诊（诊室）就诊126566人次，其中发热门诊就诊84289人次，发热诊室就诊42277人次。同步开发了网上查询和预约平台，方便群众就近选择。第一波疫情高峰龙山医院第一时间做好发热门诊扩容，诊间由3间扩增至6间，2022年12月10日至2023年1月30日，龙山医院发热门诊累计接诊11324人，其中成人发热患者8098人，儿科发热患者3226人，单日最大接诊量达693人次；全科/内科门诊累计接诊18587人；急诊内科累计接诊9457人次，单日最大接诊量达441人次；抢救室留观病总数204人次，抢救室单日最大留观量达32人次。掌起卫生院发热诊室由1间扩增至2间，累计接诊病人2423人次。畅通双向转诊机制，实现发热等新冠肺炎相关症状患者的基层首诊、有序转诊。同时开设互联网医院，开通24小时心理咨询热线，为有需要的群众提供线上问诊服务，缓解发热门诊就诊压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第一时间建立新冠救治重点药物储备清单，加强药品区域协同合理分配。1、各医院做好新冠药品重点使用量监测和需求量统计工作，及时准确上报相关需求信息。做好退热类药品、抗病毒类药品、止咳类药品、中成药类抗感冒药品、抗原试剂、辉瑞特效抗病毒药利托那韦片、阿兹夫定片等药物储备工作。2、药品分配原则上向发热门诊（诊室）工作量比较大的医院倾斜。医疗健康集团加强总院和成员单位之间内部统筹，拿出一定比例药品分配给成员单位，确保镇卫生院（街道社区卫生服务中心）发热诊室能正常接诊患者。分配时兼顾村卫生室、个体诊所等医疗机构用药需求，切实发挥这类医疗机构分流患者的作用。3、落实基层送药、中药汤剂发放工作。慈溪市中医院充分发挥中医药抗疫优势，制定抗疫预防汤剂和治疗汤剂，指导全市各镇卫生院(社区卫生服务中心）开展送药工作，特别是针对老年人群及养老院人群进行预防服药，最大限度减轻症状加快恢复或减少重症发生，同时开始新冠康复门诊，针对预防新冠感染或感染后的康复调理。</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二、加快补足基层医疗卫生机构硬件短板。村卫生室是三级医疗预防保健网的网底，承担着为农村居民提供基本公共卫生服务和多发病、常见病初级诊治的职责，有着不可替代的基础和支撑作用。经摸底调查发现，我市部分村卫生室存在业务用房简陋、设施设备缺乏、村医年龄偏大、服务能力偏低等一系列问题，与当前经济发展水平不相协调，与群众卫生健康需求不相匹配。一是按照政府卫生投入政策，落实对社区卫生服务站（卫生室）建设财政资金保障，安排专项资金用于村卫生室服务功能提升2019-2021三年行动计划，至2021年底，我市已实现标准化村卫生室全覆盖，对全市村卫生室累计投入4360万元，其中：市级财政投入1184万元，镇（街道）财政投入3176万元。二是在前期已完成全市村卫生室标准化建设全覆盖的基础上，根据浙江省政府民生实事工程新新（迁、改、扩）建村卫生室项目要求，2021-2025年，每年对基础设施较差的村卫生室进行升级改造，2021年和2022年，我市已分别改造完成10家和8家，其中龙山镇村卫生室改造完成2家。今年全市将再计划完成11家，预计每家投入改造资金近20万元，努力为群众提供优美舒适的就医环境。目前掌起卫生院已完成16排螺旋CT的配备，提升医疗信息互通互用平台建设、完成检验实验室改建，2023年9月将完成省儿保中心“医、防、护”一体化中心建设。</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三、多措并举提升基层医疗卫生服务能力。一是加强村医队伍建设。2013-2022年，委托温州医科大学仁济学院等高校定向培养临床医学、中医学专业本科层次农村社区医生共210人，其中94人已毕业，除考研等因素流失外，实际录用81人（录用后辞职2人），现有79人编制均在城区三街道以外的镇级卫生院（中心）。已有50人完成了为期三年的全科医师专业住院医师规范化培训，这50人将在政策明确后陆续到村卫生室工作，实现对高龄村医的有序替换。今年下半年还将有11人完成规培。二是强化基层业务培训指导。目前全市镇（街道）卫生院（社区卫生服务中心）共建立村医指导员队伍237支，每月根据村卫生室需求提供技术指导、业务培训、质控管理、健康教育等服务工作；全市基层医疗机构共建立家庭医生签约服务团队317支，参与签约的临床医生681人，综合医院参与签约服务的专科医生110人，为40余万签约群众特别是老年人及高血压、糖尿病等重点人群提供全过程健康管理，努力做好群众的健康守门人。</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尽管在加强农村医疗卫生体系建设上动了不少脑筋，采取了较多的举措，但是离群众要求还是有一定差距。正如您提到的一些问题，确实也在局部区域存在。根据您的建议，下步重点从以下几方面着手：一是加强村卫生室标准化建设。以列入国家标准化试点为契机，制定和发布慈溪地方标准，用标准化推动村卫生室服务的规范化、管理的精准化，提升医疗卫生服务能力。二是加大村卫生室人财保障力度。我们将继续根据《市委办公室、市政府办公室关于印发&lt;慈溪市创新实施村卫生室服务功能提升发展工作方案&gt;的通知》（慈党办〔2019〕115号）精神，在人的方面，除了加强对现有人员的培训外，加快定向委培人员的快速提升，及时充实村卫生室队伍。在财政方面，进一步加强总额提升和财政资金绩效评估的有机结合，当好市政府参谋，力争有符合工作要求与总体薪酬相结合的补偿体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感谢您对我市农村医疗卫生工作的关心和支持，如有进一步好的意见建议，可及时与我局交流，希望通过各方共同努力把这项工作高质量高水平地推上去。</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再次感谢您对我市卫生健康事业的关心和支持！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慈溪市卫生健康局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2023年6月29日</w:t>
      </w:r>
      <w:r>
        <w:rPr>
          <w:rFonts w:hint="eastAsia" w:ascii="仿宋_GB2312" w:hAnsi="仿宋_GB2312" w:eastAsia="仿宋_GB2312" w:cs="仿宋_GB2312"/>
          <w:color w:val="000000"/>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ascii="仿宋_GB2312" w:hAnsi="Tahoma" w:eastAsia="仿宋_GB2312" w:cs="仿宋_GB2312"/>
          <w:color w:val="000000"/>
          <w:sz w:val="32"/>
          <w:szCs w:val="32"/>
        </w:rPr>
        <w:t>抄　　送：市人大代表工委，市政府办公室，市财政局，龙山镇人大主席团。</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 系 人：陆益</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联系电话：63829193</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74D8C2-260A-440D-BB24-381EA6EEFB1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D401DEF5-6CD8-4E9B-A778-1DD6314B5A5E}"/>
  </w:font>
  <w:font w:name="仿宋">
    <w:panose1 w:val="02010609060101010101"/>
    <w:charset w:val="86"/>
    <w:family w:val="modern"/>
    <w:pitch w:val="default"/>
    <w:sig w:usb0="800002BF" w:usb1="38CF7CFA" w:usb2="00000016" w:usb3="00000000" w:csb0="00040001" w:csb1="00000000"/>
    <w:embedRegular r:id="rId3" w:fontKey="{17FF8896-B5C1-4E8C-A82F-B83A6CA304C9}"/>
  </w:font>
  <w:font w:name="方正小标宋简体">
    <w:panose1 w:val="02000000000000000000"/>
    <w:charset w:val="86"/>
    <w:family w:val="auto"/>
    <w:pitch w:val="default"/>
    <w:sig w:usb0="00000001" w:usb1="080E0000" w:usb2="00000000" w:usb3="00000000" w:csb0="00040000" w:csb1="00000000"/>
    <w:embedRegular r:id="rId4" w:fontKey="{D275F0A6-CA95-476F-953E-708BF15DB467}"/>
  </w:font>
  <w:font w:name="华文中宋">
    <w:panose1 w:val="02010600040101010101"/>
    <w:charset w:val="86"/>
    <w:family w:val="auto"/>
    <w:pitch w:val="default"/>
    <w:sig w:usb0="00000287" w:usb1="080F0000" w:usb2="00000000" w:usb3="00000000" w:csb0="0004009F" w:csb1="DFD70000"/>
    <w:embedRegular r:id="rId5" w:fontKey="{1A7393DF-BABD-4324-A57F-870E5E8ED29D}"/>
  </w:font>
  <w:font w:name="仿宋_GB2312">
    <w:panose1 w:val="02010609030101010101"/>
    <w:charset w:val="86"/>
    <w:family w:val="modern"/>
    <w:pitch w:val="default"/>
    <w:sig w:usb0="00000001" w:usb1="080E0000" w:usb2="00000000" w:usb3="00000000" w:csb0="00040000" w:csb1="00000000"/>
    <w:embedRegular r:id="rId6" w:fontKey="{2FB4C995-20CD-4041-8080-2C07C8E9D4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U5NGViY2YzNGRkNGI3ZGUxMWYzODMyOWM5MDQxMzQifQ=="/>
  </w:docVars>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16C4F33"/>
    <w:rsid w:val="026414C3"/>
    <w:rsid w:val="039E4A45"/>
    <w:rsid w:val="04843E9F"/>
    <w:rsid w:val="052E1988"/>
    <w:rsid w:val="05947DAD"/>
    <w:rsid w:val="05F82859"/>
    <w:rsid w:val="060D53EA"/>
    <w:rsid w:val="0706147B"/>
    <w:rsid w:val="09711B1D"/>
    <w:rsid w:val="09B969D4"/>
    <w:rsid w:val="0A137491"/>
    <w:rsid w:val="0B8853FF"/>
    <w:rsid w:val="0C3626C5"/>
    <w:rsid w:val="0DA372D9"/>
    <w:rsid w:val="0E3E4EE2"/>
    <w:rsid w:val="0E88478A"/>
    <w:rsid w:val="0F0379D5"/>
    <w:rsid w:val="10772EEB"/>
    <w:rsid w:val="11512634"/>
    <w:rsid w:val="120518EC"/>
    <w:rsid w:val="14AC46E4"/>
    <w:rsid w:val="14F5072A"/>
    <w:rsid w:val="15D75138"/>
    <w:rsid w:val="15F13BA5"/>
    <w:rsid w:val="17406937"/>
    <w:rsid w:val="19601CC8"/>
    <w:rsid w:val="1C8643DE"/>
    <w:rsid w:val="1DE20444"/>
    <w:rsid w:val="20CF6CA7"/>
    <w:rsid w:val="23915DFA"/>
    <w:rsid w:val="23C218BC"/>
    <w:rsid w:val="27ED0E48"/>
    <w:rsid w:val="2B0B6F5B"/>
    <w:rsid w:val="2CBD7291"/>
    <w:rsid w:val="2D931BBC"/>
    <w:rsid w:val="2F4D5538"/>
    <w:rsid w:val="313039AA"/>
    <w:rsid w:val="31D423FB"/>
    <w:rsid w:val="34A6539F"/>
    <w:rsid w:val="36CE275B"/>
    <w:rsid w:val="396828C4"/>
    <w:rsid w:val="3B3910D3"/>
    <w:rsid w:val="3C5A2757"/>
    <w:rsid w:val="3CB11F68"/>
    <w:rsid w:val="3DA5257E"/>
    <w:rsid w:val="405C18BB"/>
    <w:rsid w:val="40BA5DBA"/>
    <w:rsid w:val="40FF5388"/>
    <w:rsid w:val="46C30047"/>
    <w:rsid w:val="47AC4B4A"/>
    <w:rsid w:val="48227A9A"/>
    <w:rsid w:val="496F1856"/>
    <w:rsid w:val="49EA20FA"/>
    <w:rsid w:val="4A3E653E"/>
    <w:rsid w:val="4AAF44D0"/>
    <w:rsid w:val="4CFD1505"/>
    <w:rsid w:val="4D8D638D"/>
    <w:rsid w:val="4DF5511C"/>
    <w:rsid w:val="4E066744"/>
    <w:rsid w:val="4EA9451D"/>
    <w:rsid w:val="50381A57"/>
    <w:rsid w:val="50B65CAE"/>
    <w:rsid w:val="51717A3A"/>
    <w:rsid w:val="52744FBA"/>
    <w:rsid w:val="5473371E"/>
    <w:rsid w:val="549C3818"/>
    <w:rsid w:val="54F31B05"/>
    <w:rsid w:val="598362D0"/>
    <w:rsid w:val="5AF2487E"/>
    <w:rsid w:val="5E0A534A"/>
    <w:rsid w:val="601560EB"/>
    <w:rsid w:val="60361566"/>
    <w:rsid w:val="60610C35"/>
    <w:rsid w:val="60947CDB"/>
    <w:rsid w:val="624512DC"/>
    <w:rsid w:val="62A10516"/>
    <w:rsid w:val="641818BF"/>
    <w:rsid w:val="656D4317"/>
    <w:rsid w:val="677B4F2A"/>
    <w:rsid w:val="69FA0156"/>
    <w:rsid w:val="6A914479"/>
    <w:rsid w:val="6BAC6F97"/>
    <w:rsid w:val="6C0A26CE"/>
    <w:rsid w:val="6D654D9E"/>
    <w:rsid w:val="6F301492"/>
    <w:rsid w:val="74D90B65"/>
    <w:rsid w:val="759B0971"/>
    <w:rsid w:val="75C94BFC"/>
    <w:rsid w:val="762A7377"/>
    <w:rsid w:val="7634303B"/>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FollowedHyperlink"/>
    <w:basedOn w:val="7"/>
    <w:semiHidden/>
    <w:unhideWhenUsed/>
    <w:qFormat/>
    <w:uiPriority w:val="99"/>
    <w:rPr>
      <w:rFonts w:hint="default" w:ascii="Tahoma" w:hAnsi="Tahoma" w:eastAsia="Tahoma" w:cs="Tahoma"/>
      <w:color w:val="003C93"/>
      <w:u w:val="none"/>
    </w:rPr>
  </w:style>
  <w:style w:type="character" w:styleId="9">
    <w:name w:val="Hyperlink"/>
    <w:basedOn w:val="7"/>
    <w:semiHidden/>
    <w:unhideWhenUsed/>
    <w:qFormat/>
    <w:uiPriority w:val="99"/>
    <w:rPr>
      <w:rFonts w:hint="eastAsia" w:ascii="Tahoma" w:hAnsi="Tahoma" w:eastAsia="Tahoma" w:cs="Tahoma"/>
      <w:color w:val="003C9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3314</Words>
  <Characters>3503</Characters>
  <Lines>14</Lines>
  <Paragraphs>4</Paragraphs>
  <TotalTime>66</TotalTime>
  <ScaleCrop>false</ScaleCrop>
  <LinksUpToDate>false</LinksUpToDate>
  <CharactersWithSpaces>3675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绿萝58</cp:lastModifiedBy>
  <cp:lastPrinted>2023-06-19T07:08:00Z</cp:lastPrinted>
  <dcterms:modified xsi:type="dcterms:W3CDTF">2023-06-29T02:29:09Z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66F3BDA5863C4B02AD0F555149F15AFA_12</vt:lpwstr>
  </property>
</Properties>
</file>