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60" w:lineRule="atLeast"/>
        <w:jc w:val="right"/>
        <w:rPr>
          <w:rFonts w:ascii="黑体" w:hAnsi="Calibri" w:eastAsia="黑体" w:cs="Times New Roman"/>
          <w:sz w:val="32"/>
        </w:rPr>
      </w:pPr>
      <w:r>
        <w:rPr>
          <w:rFonts w:hint="eastAsia" w:ascii="黑体" w:hAnsi="Calibri" w:eastAsia="黑体" w:cs="Times New Roman"/>
          <w:sz w:val="32"/>
        </w:rPr>
        <w:t>类别号标记：B</w:t>
      </w:r>
    </w:p>
    <w:p>
      <w:pPr>
        <w:rPr>
          <w:rFonts w:ascii="仿宋_GB2312" w:hAnsi="Calibri" w:eastAsia="仿宋_GB2312" w:cs="Times New Roman"/>
          <w:sz w:val="32"/>
          <w:szCs w:val="32"/>
        </w:rPr>
      </w:pPr>
    </w:p>
    <w:p>
      <w:pPr>
        <w:rPr>
          <w:rFonts w:ascii="仿宋_GB2312" w:hAnsi="Calibri" w:eastAsia="仿宋_GB2312" w:cs="Times New Roman"/>
          <w:sz w:val="32"/>
          <w:szCs w:val="32"/>
        </w:rPr>
      </w:pPr>
    </w:p>
    <w:p>
      <w:pPr>
        <w:rPr>
          <w:rFonts w:ascii="仿宋_GB2312" w:hAnsi="Calibri" w:eastAsia="仿宋_GB2312" w:cs="Times New Roman"/>
          <w:sz w:val="32"/>
          <w:szCs w:val="32"/>
        </w:rPr>
      </w:pPr>
    </w:p>
    <w:p>
      <w:pPr>
        <w:rPr>
          <w:rFonts w:ascii="仿宋_GB2312" w:hAnsi="Calibri" w:eastAsia="仿宋_GB2312" w:cs="Times New Roman"/>
          <w:sz w:val="32"/>
          <w:szCs w:val="32"/>
        </w:rPr>
      </w:pPr>
    </w:p>
    <w:p>
      <w:pPr>
        <w:tabs>
          <w:tab w:val="left" w:pos="8460"/>
          <w:tab w:val="left" w:pos="8640"/>
        </w:tabs>
        <w:ind w:firstLine="320" w:firstLineChars="100"/>
        <w:rPr>
          <w:rFonts w:hint="eastAsia" w:ascii="楷体_GB2312" w:hAnsi="Calibri" w:eastAsia="仿宋_GB2312" w:cs="Times New Roman"/>
          <w:sz w:val="32"/>
          <w:szCs w:val="32"/>
          <w:lang w:val="en-US" w:eastAsia="zh-CN"/>
        </w:rPr>
      </w:pPr>
      <w:r>
        <w:rPr>
          <w:rFonts w:hint="eastAsia" w:ascii="仿宋_GB2312" w:hAnsi="Calibri" w:eastAsia="仿宋_GB2312" w:cs="Times New Roman"/>
          <w:sz w:val="32"/>
          <w:szCs w:val="32"/>
        </w:rPr>
        <w:t>慈司</w:t>
      </w:r>
      <w:r>
        <w:rPr>
          <w:rFonts w:hint="eastAsia" w:ascii="仿宋_GB2312" w:hAnsi="Calibri" w:eastAsia="仿宋_GB2312" w:cs="Times New Roman"/>
          <w:sz w:val="32"/>
          <w:szCs w:val="32"/>
          <w:lang w:eastAsia="zh-CN"/>
        </w:rPr>
        <w:t>建</w:t>
      </w:r>
      <w:r>
        <w:rPr>
          <w:rFonts w:hint="eastAsia" w:ascii="仿宋_GB2312" w:hAnsi="Calibri" w:eastAsia="仿宋_GB2312" w:cs="Times New Roman"/>
          <w:sz w:val="32"/>
          <w:szCs w:val="32"/>
        </w:rPr>
        <w:t>〔20</w:t>
      </w:r>
      <w:r>
        <w:rPr>
          <w:rFonts w:hint="eastAsia" w:ascii="仿宋_GB2312" w:hAnsi="Calibri" w:eastAsia="仿宋_GB2312" w:cs="Times New Roman"/>
          <w:sz w:val="32"/>
          <w:szCs w:val="32"/>
          <w:lang w:val="en-US" w:eastAsia="zh-CN"/>
        </w:rPr>
        <w:t>22</w:t>
      </w:r>
      <w:r>
        <w:rPr>
          <w:rFonts w:hint="eastAsia" w:ascii="仿宋_GB2312" w:hAnsi="Calibri" w:eastAsia="仿宋_GB2312" w:cs="Times New Roman"/>
          <w:sz w:val="32"/>
          <w:szCs w:val="32"/>
        </w:rPr>
        <w:t>〕</w:t>
      </w:r>
      <w:r>
        <w:rPr>
          <w:rFonts w:hint="eastAsia" w:ascii="仿宋_GB2312" w:eastAsia="仿宋_GB2312"/>
          <w:sz w:val="32"/>
          <w:szCs w:val="32"/>
          <w:lang w:val="en-US" w:eastAsia="zh-CN"/>
        </w:rPr>
        <w:t>1</w:t>
      </w:r>
      <w:r>
        <w:rPr>
          <w:rFonts w:hint="eastAsia" w:ascii="仿宋_GB2312" w:hAnsi="Calibri" w:eastAsia="仿宋_GB2312" w:cs="Times New Roman"/>
          <w:sz w:val="32"/>
          <w:szCs w:val="32"/>
        </w:rPr>
        <w:t xml:space="preserve">号                  </w:t>
      </w:r>
      <w:r>
        <w:rPr>
          <w:rFonts w:hint="eastAsia" w:ascii="仿宋_GB2312" w:eastAsia="仿宋_GB2312"/>
          <w:sz w:val="32"/>
          <w:szCs w:val="32"/>
        </w:rPr>
        <w:t xml:space="preserve">  </w:t>
      </w:r>
      <w:r>
        <w:rPr>
          <w:rFonts w:hint="eastAsia" w:ascii="仿宋_GB2312" w:hAnsi="Calibri" w:eastAsia="仿宋_GB2312" w:cs="Times New Roman"/>
          <w:sz w:val="32"/>
          <w:szCs w:val="32"/>
        </w:rPr>
        <w:t xml:space="preserve"> 签发人：</w:t>
      </w:r>
      <w:r>
        <w:rPr>
          <w:rFonts w:hint="eastAsia" w:ascii="楷体_GB2312" w:hAnsi="楷体_GB2312" w:eastAsia="楷体_GB2312" w:cs="楷体_GB2312"/>
          <w:sz w:val="32"/>
          <w:szCs w:val="32"/>
          <w:lang w:eastAsia="zh-CN"/>
        </w:rPr>
        <w:t>张文</w:t>
      </w:r>
    </w:p>
    <w:p>
      <w:pPr>
        <w:keepNext w:val="0"/>
        <w:keepLines w:val="0"/>
        <w:pageBreakBefore w:val="0"/>
        <w:widowControl w:val="0"/>
        <w:kinsoku/>
        <w:wordWrap/>
        <w:overflowPunct/>
        <w:topLinePunct w:val="0"/>
        <w:autoSpaceDE/>
        <w:autoSpaceDN/>
        <w:bidi w:val="0"/>
        <w:adjustRightInd/>
        <w:snapToGrid/>
        <w:spacing w:line="520" w:lineRule="exact"/>
        <w:ind w:left="0" w:leftChars="0"/>
        <w:jc w:val="both"/>
        <w:textAlignment w:val="auto"/>
        <w:rPr>
          <w:rFonts w:ascii="方正小标宋简体" w:hAnsi="Calibri" w:eastAsia="方正小标宋简体" w:cs="Times New Roman"/>
          <w:sz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both"/>
        <w:textAlignment w:val="auto"/>
        <w:rPr>
          <w:rFonts w:ascii="方正小标宋简体" w:hAnsi="Calibri" w:eastAsia="方正小标宋简体" w:cs="Times New Roman"/>
          <w:sz w:val="44"/>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2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市</w:t>
      </w:r>
      <w:r>
        <w:rPr>
          <w:rFonts w:hint="eastAsia" w:ascii="方正小标宋简体" w:hAnsi="方正小标宋简体" w:eastAsia="方正小标宋简体" w:cs="方正小标宋简体"/>
          <w:sz w:val="44"/>
          <w:szCs w:val="44"/>
          <w:lang w:eastAsia="zh-CN"/>
        </w:rPr>
        <w:t>第十八届人大第一次会议</w:t>
      </w: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val="en-US" w:eastAsia="zh-CN"/>
        </w:rPr>
        <w:t>318</w:t>
      </w:r>
      <w:r>
        <w:rPr>
          <w:rFonts w:hint="eastAsia" w:ascii="方正小标宋简体" w:hAnsi="方正小标宋简体" w:eastAsia="方正小标宋简体" w:cs="方正小标宋简体"/>
          <w:sz w:val="44"/>
          <w:szCs w:val="44"/>
        </w:rPr>
        <w:t>号建议的</w:t>
      </w:r>
      <w:r>
        <w:rPr>
          <w:rFonts w:hint="eastAsia" w:ascii="方正小标宋简体" w:hAnsi="方正小标宋简体" w:eastAsia="方正小标宋简体" w:cs="方正小标宋简体"/>
          <w:sz w:val="44"/>
          <w:szCs w:val="44"/>
          <w:lang w:eastAsia="zh-CN"/>
        </w:rPr>
        <w:t>答复</w:t>
      </w:r>
    </w:p>
    <w:p>
      <w:pPr>
        <w:pStyle w:val="5"/>
        <w:keepNext w:val="0"/>
        <w:keepLines w:val="0"/>
        <w:pageBreakBefore w:val="0"/>
        <w:widowControl w:val="0"/>
        <w:tabs>
          <w:tab w:val="left" w:pos="210"/>
        </w:tabs>
        <w:kinsoku/>
        <w:wordWrap/>
        <w:overflowPunct/>
        <w:topLinePunct w:val="0"/>
        <w:autoSpaceDE/>
        <w:autoSpaceDN/>
        <w:bidi w:val="0"/>
        <w:adjustRightInd/>
        <w:snapToGrid/>
        <w:spacing w:before="0" w:beforeAutospacing="0" w:after="0" w:afterAutospacing="0" w:line="520" w:lineRule="exact"/>
        <w:ind w:left="0" w:leftChars="0"/>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20" w:lineRule="exact"/>
        <w:ind w:left="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陈益亭代表：</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您在市第十八届人大第一次会议上提出的《关于充分发挥律师调解职能，推进矛盾纠纷化解机制建设的建议》已收悉。我局经认真分析研究，结合市人民法院、市财政局等协办单位意见，现答复如下：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律师队伍作为依法治国的一支重要力量，在维护社会公平正义、促进社会和谐稳定中起着重要作用。自2017年10月以来，慈溪市司法局认真贯彻落实上级有关律师调解试点工作精神，积极与市人民法院、宁波市律协慈溪分会及相关部门沟通协调，探索开展律师调解试点工作，充分发挥律师在预防和化解矛盾纠纷中的专业优势、职业优势和实践优势，坚持把非诉讼纠纷解决机制挺在前。</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一、搭建平台，充分发挥律师调解机制优势。</w:t>
      </w:r>
      <w:r>
        <w:rPr>
          <w:rFonts w:hint="eastAsia" w:ascii="仿宋_GB2312" w:hAnsi="仿宋_GB2312" w:eastAsia="仿宋_GB2312" w:cs="仿宋_GB2312"/>
          <w:sz w:val="32"/>
          <w:szCs w:val="32"/>
          <w:lang w:eastAsia="zh-CN"/>
        </w:rPr>
        <w:t>自律师调解试点工作以来，我局坚持“搭平台、强保障、优模式”工作原则，联合市人民法院于2018年1月制定印发《关于开展律师调解工作的若干规定》，建立了以法院律师调解工作室为中心，市公共法律服务中心和镇（街道）、律师事务所律师调解工作室为站点的体系框架。面向辖区律师遴选专业人才，组建了由38名律师组成的律师调解队伍。通过“建章立制，规范全流程手续”“协调联动，落实人财物保障”“专人专岗，推进一站式处理”等举措，推进律师参与调解这项工作不断深化，成效日益显现。同时，市人民法院组建“一正一副一助理”司法确认团队，形成3日内受理、审查、裁定速出的司法确认模式，为律师调解工作提供坚强司法保障。截至目前，律师调解员累计参与委派、委托调解案件1883件，调撤1720件，成功率91.34%。</w:t>
      </w:r>
    </w:p>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二、部门联动，创新商事领域诉源治理新模式。</w:t>
      </w:r>
      <w:r>
        <w:rPr>
          <w:rFonts w:hint="eastAsia" w:ascii="仿宋_GB2312" w:hAnsi="仿宋_GB2312" w:eastAsia="仿宋_GB2312" w:cs="仿宋_GB2312"/>
          <w:sz w:val="32"/>
          <w:szCs w:val="32"/>
          <w:lang w:eastAsia="zh-CN"/>
        </w:rPr>
        <w:t>为进一步推动诉源治理，减轻当事人诉累，优化法治化营商环境，创新优化原有律师调解工作模式，2021年我局联合市人民法院指导辖区22家律所发起设立慈溪市律谐商事调解中心，甄选29名具有丰富执业经验的专业律师居中主持调解金融、买卖、知识产权等商事纠纷，在宁波大市率先探索商事领域市场化调解新路径。</w:t>
      </w:r>
      <w:r>
        <w:rPr>
          <w:rFonts w:hint="eastAsia" w:ascii="仿宋_GB2312" w:hAnsi="仿宋_GB2312" w:eastAsia="仿宋_GB2312" w:cs="仿宋_GB2312"/>
          <w:sz w:val="32"/>
          <w:szCs w:val="32"/>
          <w:lang w:val="en-US" w:eastAsia="zh-CN"/>
        </w:rPr>
        <w:t>2021、2022年先后</w:t>
      </w:r>
      <w:r>
        <w:rPr>
          <w:rFonts w:hint="eastAsia" w:ascii="仿宋_GB2312" w:hAnsi="仿宋_GB2312" w:eastAsia="仿宋_GB2312" w:cs="仿宋_GB2312"/>
          <w:sz w:val="32"/>
          <w:szCs w:val="32"/>
          <w:lang w:eastAsia="zh-CN"/>
        </w:rPr>
        <w:t>出台《关于共同建立慈溪市商事纠纷诉调对接工作机制的实施方案》《关于进一步加强诉调对接创新推进商事纠纷非诉讼解决机制的意见》，形成跨部门联动商事领域诉调对接合作框架，推进诉调对接工作规范运行。截至</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lang w:eastAsia="zh-CN"/>
        </w:rPr>
        <w:t>5月底，该中心共受理商事纠纷177件，其中在办案件111件，成功调解59件，涉及标的598余万元；案件平均成功调解时限为13个工作日，远低于法院一般案件审结期限3个月。商调中心工作信息得到省厅门户网站、宁波政务信息等的录用发布，办案情况得到宁波晚报官方人民号、甬上、慈溪日报等新闻媒体刊登报道，中心社会知晓率及影响力逐步提升。</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b w:val="0"/>
          <w:bCs w:val="0"/>
          <w:sz w:val="32"/>
          <w:szCs w:val="32"/>
          <w:lang w:eastAsia="zh-CN"/>
        </w:rPr>
        <w:t>三、落实保障，全力夯实律师调解工作基础。</w:t>
      </w:r>
      <w:r>
        <w:rPr>
          <w:rFonts w:hint="eastAsia" w:ascii="楷体" w:hAnsi="楷体" w:eastAsia="楷体" w:cs="楷体"/>
          <w:sz w:val="32"/>
          <w:szCs w:val="32"/>
          <w:lang w:eastAsia="zh-CN"/>
        </w:rPr>
        <w:t>一是经费保障。</w:t>
      </w:r>
      <w:r>
        <w:rPr>
          <w:rFonts w:hint="eastAsia" w:ascii="仿宋_GB2312" w:hAnsi="仿宋_GB2312" w:eastAsia="仿宋_GB2312" w:cs="仿宋_GB2312"/>
          <w:sz w:val="32"/>
          <w:szCs w:val="32"/>
          <w:lang w:eastAsia="zh-CN"/>
        </w:rPr>
        <w:t>市财政在法院设立律师调解工作专项资金，对调解成功案件根据难易程度实行“一案一补”，2022年该项预算安排由30万元增至60万元。市商调中心作为非营利法人，坚持“低价有偿”原则，以调解成功为前提，仅按诉讼费40%收取费用。截至目前，累计收费仅</w:t>
      </w:r>
      <w:r>
        <w:rPr>
          <w:rFonts w:hint="eastAsia" w:ascii="仿宋_GB2312" w:hAnsi="仿宋_GB2312" w:eastAsia="仿宋_GB2312" w:cs="仿宋_GB2312"/>
          <w:sz w:val="32"/>
          <w:szCs w:val="32"/>
          <w:lang w:val="en-US" w:eastAsia="zh-CN"/>
        </w:rPr>
        <w:t>2万余元，中心房租、人员支出较大</w:t>
      </w:r>
      <w:r>
        <w:rPr>
          <w:rFonts w:hint="eastAsia" w:ascii="仿宋_GB2312" w:hAnsi="仿宋_GB2312" w:eastAsia="仿宋_GB2312" w:cs="仿宋_GB2312"/>
          <w:sz w:val="32"/>
          <w:szCs w:val="32"/>
          <w:lang w:eastAsia="zh-CN"/>
        </w:rPr>
        <w:t>，收支难以平衡，经费缺口较大。为此，我局多次与市委市政府、上级主管部门反映，积极争取财政资金补助，竭力帮助中心渡过初创阶段艰难期。</w:t>
      </w:r>
      <w:r>
        <w:rPr>
          <w:rFonts w:hint="eastAsia" w:ascii="楷体" w:hAnsi="楷体" w:eastAsia="楷体" w:cs="楷体"/>
          <w:sz w:val="32"/>
          <w:szCs w:val="32"/>
          <w:lang w:eastAsia="zh-CN"/>
        </w:rPr>
        <w:t>二是机制对接。</w:t>
      </w:r>
      <w:r>
        <w:rPr>
          <w:rFonts w:hint="eastAsia" w:ascii="仿宋_GB2312" w:hAnsi="仿宋_GB2312" w:eastAsia="仿宋_GB2312" w:cs="仿宋_GB2312"/>
          <w:sz w:val="32"/>
          <w:szCs w:val="32"/>
          <w:lang w:eastAsia="zh-CN"/>
        </w:rPr>
        <w:t>自律师调解工作推行以来，市人民法院各部门均落实专人对接，确保及时为符合条件的调解协议办理司法确认。市商调中心设立以来，诉调衔接机制进一步优化完善，同步建立调解协议申请司法确认制度。此外，对调解未成的，在征得各方当事人同意后，调解员以书面形式记载各方无争议事实、证据和焦点，经当事人签字确认后一并提交，为后续审理减少举证负担。</w:t>
      </w:r>
      <w:r>
        <w:rPr>
          <w:rFonts w:hint="eastAsia" w:ascii="楷体" w:hAnsi="楷体" w:eastAsia="楷体" w:cs="楷体"/>
          <w:sz w:val="32"/>
          <w:szCs w:val="32"/>
          <w:lang w:eastAsia="zh-CN"/>
        </w:rPr>
        <w:t>三是队伍培育。</w:t>
      </w:r>
      <w:r>
        <w:rPr>
          <w:rFonts w:hint="eastAsia" w:ascii="仿宋_GB2312" w:hAnsi="仿宋_GB2312" w:eastAsia="仿宋_GB2312" w:cs="仿宋_GB2312"/>
          <w:sz w:val="32"/>
          <w:szCs w:val="32"/>
          <w:lang w:eastAsia="zh-CN"/>
        </w:rPr>
        <w:t>完善商事调解员准入退出机制，探索吸纳有关专业领域有精力有能力且热心调解工作的人员加入商事调解员队伍。同步建立律师调解员考核、退出和激励机制，综合考量调解总量、调解成功率、当事人满意率等指标，动态调整律师调解员队伍。建立法官与律师调解员同堂培训等交流平台，从职业道德、执业纪律、调解技能等方面加强商事领域理论研究和规则提炼，阶梯化打造专业突出、实践丰富的全市商事调解律师队伍。此外，研究建立律师参与公益性调解的考核表彰激励机制，对表现突出的商事律师调解员给予荣誉奖励，与律师评先评优挂钩。</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直以来，市司法局十分重视律师调解工作，已初步形成律师参与矛盾纠纷的“慈溪模式”。今后，我们将继续以基础性保障为导向、以创新性改革为驱动、以多领域联动为关键、以队伍优化为重点，持续推动律师参与调解工作出成效、有口碑，不断提升群众及市场主体的非诉渠道解纷体验。</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最后，再次感谢您对律师调解工作提出相关建议和意见。感谢您对我市司法行政工作法的关心和支持！</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（联 系 人：陈铃锋，联系电话：89590772）</w:t>
      </w:r>
    </w:p>
    <w:p>
      <w:pPr>
        <w:pStyle w:val="2"/>
        <w:keepNext w:val="0"/>
        <w:keepLines w:val="0"/>
        <w:pageBreakBefore w:val="0"/>
        <w:widowControl w:val="0"/>
        <w:kinsoku/>
        <w:wordWrap/>
        <w:overflowPunct/>
        <w:topLinePunct w:val="0"/>
        <w:bidi w:val="0"/>
        <w:snapToGrid/>
        <w:spacing w:line="520" w:lineRule="exact"/>
        <w:ind w:left="0"/>
        <w:jc w:val="both"/>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bidi w:val="0"/>
        <w:snapToGrid/>
        <w:spacing w:line="520" w:lineRule="exact"/>
        <w:ind w:left="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bidi w:val="0"/>
        <w:snapToGrid/>
        <w:spacing w:line="520" w:lineRule="exact"/>
        <w:ind w:left="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慈溪市司法局</w:t>
      </w:r>
    </w:p>
    <w:p>
      <w:pPr>
        <w:keepNext w:val="0"/>
        <w:keepLines w:val="0"/>
        <w:pageBreakBefore w:val="0"/>
        <w:widowControl w:val="0"/>
        <w:tabs>
          <w:tab w:val="left" w:pos="7560"/>
          <w:tab w:val="left" w:pos="7770"/>
        </w:tabs>
        <w:kinsoku/>
        <w:wordWrap/>
        <w:overflowPunct/>
        <w:topLinePunct w:val="0"/>
        <w:autoSpaceDE/>
        <w:autoSpaceDN/>
        <w:bidi w:val="0"/>
        <w:adjustRightInd/>
        <w:snapToGrid/>
        <w:spacing w:line="520" w:lineRule="exact"/>
        <w:ind w:left="4480" w:leftChars="0" w:hanging="4480" w:hangingChars="14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2022年6月30日</w:t>
      </w:r>
    </w:p>
    <w:p>
      <w:pPr>
        <w:keepNext w:val="0"/>
        <w:keepLines w:val="0"/>
        <w:pageBreakBefore w:val="0"/>
        <w:widowControl w:val="0"/>
        <w:kinsoku/>
        <w:wordWrap/>
        <w:overflowPunct/>
        <w:topLinePunct w:val="0"/>
        <w:autoSpaceDE/>
        <w:autoSpaceDN/>
        <w:bidi w:val="0"/>
        <w:adjustRightInd/>
        <w:snapToGrid/>
        <w:spacing w:line="560" w:lineRule="exact"/>
        <w:ind w:left="4480" w:leftChars="0" w:hanging="4480" w:hangingChars="1400"/>
        <w:jc w:val="both"/>
        <w:textAlignment w:val="auto"/>
        <w:rPr>
          <w:rFonts w:hint="eastAsia" w:ascii="仿宋_GB2312" w:hAnsi="仿宋_GB2312" w:eastAsia="仿宋_GB2312" w:cs="仿宋_GB2312"/>
          <w:sz w:val="32"/>
          <w:szCs w:val="32"/>
          <w:lang w:val="en-US" w:eastAsia="zh-CN"/>
        </w:rPr>
      </w:pPr>
      <w:bookmarkStart w:id="0" w:name="_GoBack"/>
      <w:bookmarkEnd w:id="0"/>
    </w:p>
    <w:p>
      <w:pPr>
        <w:pStyle w:val="2"/>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pStyle w:val="2"/>
        <w:tabs>
          <w:tab w:val="left" w:pos="420"/>
        </w:tabs>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抄    送：市人大代表工委，市政府办公室，市财政局，市人民法院。</w:t>
      </w:r>
    </w:p>
    <w:sectPr>
      <w:footerReference r:id="rId3" w:type="default"/>
      <w:footerReference r:id="rId4" w:type="even"/>
      <w:pgSz w:w="11906" w:h="16838"/>
      <w:pgMar w:top="2098" w:right="1474" w:bottom="1440" w:left="1587"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52E02"/>
    <w:rsid w:val="11836F37"/>
    <w:rsid w:val="15FC2616"/>
    <w:rsid w:val="174A0ABB"/>
    <w:rsid w:val="18CF2711"/>
    <w:rsid w:val="1A3B2036"/>
    <w:rsid w:val="1C3067D3"/>
    <w:rsid w:val="1E8B2FB7"/>
    <w:rsid w:val="228458EE"/>
    <w:rsid w:val="24AB3947"/>
    <w:rsid w:val="26FC720E"/>
    <w:rsid w:val="285208A2"/>
    <w:rsid w:val="2CC563CA"/>
    <w:rsid w:val="2D8D69FC"/>
    <w:rsid w:val="2D9D0F8B"/>
    <w:rsid w:val="2EB22E6E"/>
    <w:rsid w:val="31E45E0C"/>
    <w:rsid w:val="36BD4E15"/>
    <w:rsid w:val="412331AE"/>
    <w:rsid w:val="4471012A"/>
    <w:rsid w:val="457354A3"/>
    <w:rsid w:val="47750616"/>
    <w:rsid w:val="4C5C25E1"/>
    <w:rsid w:val="4DAC1E31"/>
    <w:rsid w:val="4EFB0A77"/>
    <w:rsid w:val="511E4809"/>
    <w:rsid w:val="519866E7"/>
    <w:rsid w:val="535D51D1"/>
    <w:rsid w:val="56EA1733"/>
    <w:rsid w:val="5CC72BC9"/>
    <w:rsid w:val="5DD8061C"/>
    <w:rsid w:val="5FD94116"/>
    <w:rsid w:val="600967D7"/>
    <w:rsid w:val="61E2499C"/>
    <w:rsid w:val="674F465A"/>
    <w:rsid w:val="6A0C3F88"/>
    <w:rsid w:val="6C594EA7"/>
    <w:rsid w:val="6C787D73"/>
    <w:rsid w:val="6C8E461B"/>
    <w:rsid w:val="70F52514"/>
    <w:rsid w:val="7359639E"/>
    <w:rsid w:val="7B6241E4"/>
    <w:rsid w:val="7C3D2F72"/>
    <w:rsid w:val="7E913A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Times New Roman" w:hAnsi="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user</cp:lastModifiedBy>
  <cp:lastPrinted>2022-07-01T09:42:42Z</cp:lastPrinted>
  <dcterms:modified xsi:type="dcterms:W3CDTF">2022-07-01T09:42:52Z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