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华文中宋" w:eastAsia="仿宋_GB2312"/>
          <w:b/>
          <w:bCs/>
          <w:sz w:val="32"/>
        </w:rPr>
      </w:pPr>
      <w:r>
        <w:rPr>
          <w:rFonts w:hint="eastAsia" w:ascii="仿宋_GB2312" w:hAnsi="华文中宋" w:eastAsia="仿宋_GB2312"/>
          <w:b/>
          <w:bCs/>
          <w:sz w:val="32"/>
        </w:rPr>
        <w:t xml:space="preserve">   </w:t>
      </w:r>
    </w:p>
    <w:p>
      <w:pPr>
        <w:spacing w:line="560" w:lineRule="exact"/>
        <w:jc w:val="center"/>
        <w:rPr>
          <w:rFonts w:ascii="仿宋_GB2312" w:hAnsi="华文中宋" w:eastAsia="仿宋_GB2312"/>
          <w:b/>
          <w:bCs/>
          <w:sz w:val="32"/>
        </w:rPr>
      </w:pPr>
    </w:p>
    <w:p>
      <w:pPr>
        <w:spacing w:line="560" w:lineRule="exact"/>
        <w:jc w:val="center"/>
        <w:rPr>
          <w:rFonts w:ascii="仿宋_GB2312" w:hAnsi="华文中宋" w:eastAsia="仿宋_GB2312"/>
          <w:b/>
          <w:bCs/>
          <w:sz w:val="32"/>
        </w:rPr>
      </w:pPr>
      <w:r>
        <w:rPr>
          <w:rFonts w:ascii="仿宋_GB2312" w:hAnsi="华文中宋" w:eastAsia="仿宋_GB2312"/>
          <w:b/>
          <w:bCs/>
          <w:sz w:val="32"/>
        </w:rPr>
        <w:pict>
          <v:shape id="_x0000_s1026" o:spid="_x0000_s1026" o:spt="136" type="#_x0000_t136" style="position:absolute;left:0pt;margin-left:-3pt;margin-top:-14.8pt;height:55.9pt;width:449.35pt;z-index:251660288;mso-width-relative:page;mso-height-relative:page;" fillcolor="#FF0000" filled="t" stroked="t" coordsize="21600,21600">
            <v:path/>
            <v:fill on="t" focussize="0,0"/>
            <v:stroke color="#FF0000"/>
            <v:imagedata o:title=""/>
            <o:lock v:ext="edit"/>
            <v:textpath on="t" fitshape="t" fitpath="t" trim="t" xscale="f" string="慈溪市市场监督管理局文件" style="font-family:华文中宋;font-size:40pt;font-weight:bold;v-text-align:center;"/>
          </v:shape>
        </w:pict>
      </w:r>
    </w:p>
    <w:p>
      <w:pPr>
        <w:spacing w:line="560" w:lineRule="exact"/>
        <w:jc w:val="center"/>
        <w:rPr>
          <w:rFonts w:ascii="仿宋_GB2312" w:hAnsi="华文中宋" w:eastAsia="仿宋_GB2312"/>
          <w:b/>
          <w:bCs/>
          <w:sz w:val="32"/>
        </w:rPr>
      </w:pPr>
    </w:p>
    <w:p>
      <w:pPr>
        <w:spacing w:line="560" w:lineRule="exact"/>
        <w:ind w:firstLine="160" w:firstLineChars="50"/>
        <w:rPr>
          <w:rFonts w:ascii="仿宋_GB2312" w:eastAsia="仿宋_GB2312"/>
          <w:sz w:val="32"/>
          <w:szCs w:val="32"/>
        </w:rPr>
      </w:pPr>
    </w:p>
    <w:p>
      <w:pPr>
        <w:spacing w:line="560" w:lineRule="exact"/>
        <w:rPr>
          <w:rFonts w:ascii="华文中宋" w:hAnsi="华文中宋" w:eastAsia="华文中宋"/>
          <w:b/>
          <w:bCs/>
          <w:sz w:val="32"/>
        </w:rPr>
      </w:pPr>
      <w:r>
        <w:rPr>
          <w:rFonts w:hint="eastAsia" w:ascii="华文中宋" w:hAnsi="华文中宋" w:eastAsia="华文中宋"/>
          <w:b/>
          <w:bCs/>
          <w:sz w:val="32"/>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29845</wp:posOffset>
                </wp:positionV>
                <wp:extent cx="5803265" cy="9525"/>
                <wp:effectExtent l="26035" t="25400" r="19050" b="22225"/>
                <wp:wrapNone/>
                <wp:docPr id="1" name="任意多边形 1"/>
                <wp:cNvGraphicFramePr/>
                <a:graphic xmlns:a="http://schemas.openxmlformats.org/drawingml/2006/main">
                  <a:graphicData uri="http://schemas.microsoft.com/office/word/2010/wordprocessingShape">
                    <wps:wsp>
                      <wps:cNvSpPr/>
                      <wps:spPr bwMode="auto">
                        <a:xfrm>
                          <a:off x="0" y="0"/>
                          <a:ext cx="5803265" cy="9525"/>
                        </a:xfrm>
                        <a:custGeom>
                          <a:avLst/>
                          <a:gdLst>
                            <a:gd name="T0" fmla="*/ 0 w 9139"/>
                            <a:gd name="T1" fmla="*/ 15 h 15"/>
                            <a:gd name="T2" fmla="*/ 3572 w 9139"/>
                            <a:gd name="T3" fmla="*/ 0 h 15"/>
                            <a:gd name="T4" fmla="*/ 9139 w 9139"/>
                            <a:gd name="T5" fmla="*/ 0 h 15"/>
                          </a:gdLst>
                          <a:ahLst/>
                          <a:cxnLst>
                            <a:cxn ang="0">
                              <a:pos x="T0" y="T1"/>
                            </a:cxn>
                            <a:cxn ang="0">
                              <a:pos x="T2" y="T3"/>
                            </a:cxn>
                            <a:cxn ang="0">
                              <a:pos x="T4" y="T5"/>
                            </a:cxn>
                          </a:cxnLst>
                          <a:rect l="0" t="0" r="r" b="b"/>
                          <a:pathLst>
                            <a:path w="9139" h="15">
                              <a:moveTo>
                                <a:pt x="0" y="15"/>
                              </a:moveTo>
                              <a:lnTo>
                                <a:pt x="3572" y="0"/>
                              </a:lnTo>
                              <a:lnTo>
                                <a:pt x="9139" y="0"/>
                              </a:lnTo>
                            </a:path>
                          </a:pathLst>
                        </a:custGeom>
                        <a:noFill/>
                        <a:ln w="38100" cmpd="sng">
                          <a:solidFill>
                            <a:srgbClr val="FF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0.6pt;margin-top:2.35pt;height:0.75pt;width:456.95pt;z-index:251661312;mso-width-relative:page;mso-height-relative:page;" filled="f" stroked="t" coordsize="9139,15" o:gfxdata="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nBA3&#10;m9MAAAAHAQAADwAAAAAAAAABACAAAAAiAAAAZHJzL2Rvd25yZXYueG1sUEsBAhQAFAAAAAgAh07i&#10;QPf8DlrSAgAAJAYAAA4AAAAAAAAAAQAgAAAAIgEAAGRycy9lMm9Eb2MueG1sUEsFBgAAAAAGAAYA&#10;WQEAAGYGAAAAAA==&#10;" path="m0,15l3572,0,9139,0e">
                <v:path o:connectlocs="0,9525;2268220,0;5803265,0" o:connectangles="0,0,0"/>
                <v:fill on="f" focussize="0,0"/>
                <v:stroke weight="3pt" color="#FF0000" joinstyle="round"/>
                <v:imagedata o:title=""/>
                <o:lock v:ext="edit" aspectratio="f"/>
              </v:shape>
            </w:pict>
          </mc:Fallback>
        </mc:AlternateContent>
      </w:r>
    </w:p>
    <w:p>
      <w:pPr>
        <w:pStyle w:val="6"/>
        <w:bidi w:val="0"/>
        <w:jc w:val="center"/>
        <w:rPr>
          <w:rFonts w:hint="eastAsia" w:ascii="黑体" w:hAnsi="黑体" w:eastAsia="黑体" w:cs="Times New Roman"/>
          <w:b w:val="0"/>
          <w:kern w:val="2"/>
          <w:sz w:val="36"/>
          <w:szCs w:val="36"/>
          <w:lang w:val="en-US" w:eastAsia="zh-CN" w:bidi="ar-SA"/>
        </w:rPr>
      </w:pPr>
      <w:r>
        <w:rPr>
          <w:rFonts w:hint="eastAsia" w:ascii="黑体" w:hAnsi="黑体" w:eastAsia="黑体" w:cs="Times New Roman"/>
          <w:b w:val="0"/>
          <w:kern w:val="2"/>
          <w:sz w:val="36"/>
          <w:szCs w:val="36"/>
          <w:lang w:val="en-US" w:eastAsia="zh-CN" w:bidi="ar-SA"/>
        </w:rPr>
        <w:t>关于市十八届人大一次会议第135号建议的协办意见</w:t>
      </w:r>
    </w:p>
    <w:p>
      <w:pPr>
        <w:spacing w:line="56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市</w:t>
      </w:r>
      <w:r>
        <w:rPr>
          <w:rFonts w:hint="eastAsia" w:ascii="仿宋_GB2312" w:eastAsia="仿宋_GB2312" w:cs="Times New Roman"/>
          <w:sz w:val="32"/>
          <w:szCs w:val="32"/>
          <w:lang w:eastAsia="zh-CN"/>
        </w:rPr>
        <w:t>农业农村</w:t>
      </w:r>
      <w:r>
        <w:rPr>
          <w:rFonts w:hint="eastAsia" w:ascii="仿宋_GB2312" w:hAnsi="Times New Roman" w:eastAsia="仿宋_GB2312" w:cs="Times New Roman"/>
          <w:sz w:val="32"/>
          <w:szCs w:val="32"/>
          <w:lang w:eastAsia="zh-CN"/>
        </w:rPr>
        <w:t>局：</w:t>
      </w:r>
    </w:p>
    <w:p>
      <w:pPr>
        <w:spacing w:line="560" w:lineRule="exact"/>
        <w:ind w:firstLine="64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val="en-US" w:eastAsia="zh-CN"/>
        </w:rPr>
        <w:t>市十八届人大一次会议第135号</w:t>
      </w:r>
      <w:r>
        <w:rPr>
          <w:rFonts w:hint="eastAsia" w:ascii="仿宋_GB2312" w:hAnsi="Times New Roman" w:eastAsia="仿宋_GB2312" w:cs="Times New Roman"/>
          <w:sz w:val="32"/>
          <w:szCs w:val="32"/>
          <w:lang w:eastAsia="zh-CN"/>
        </w:rPr>
        <w:t>关于对加快推进冷库信息化建设的建议，我局结合自身职能，现提</w:t>
      </w:r>
      <w:bookmarkStart w:id="0" w:name="_GoBack"/>
      <w:bookmarkEnd w:id="0"/>
      <w:r>
        <w:rPr>
          <w:rFonts w:hint="eastAsia" w:ascii="仿宋_GB2312" w:hAnsi="Times New Roman" w:eastAsia="仿宋_GB2312" w:cs="Times New Roman"/>
          <w:sz w:val="32"/>
          <w:szCs w:val="32"/>
          <w:lang w:eastAsia="zh-CN"/>
        </w:rPr>
        <w:t>出如下协办意见：</w:t>
      </w:r>
    </w:p>
    <w:p>
      <w:pPr>
        <w:spacing w:line="560" w:lineRule="exact"/>
        <w:ind w:firstLine="64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冷库作为冷链</w:t>
      </w:r>
      <w:r>
        <w:rPr>
          <w:rFonts w:hint="eastAsia" w:ascii="仿宋_GB2312" w:eastAsia="仿宋_GB2312" w:cs="Times New Roman"/>
          <w:sz w:val="32"/>
          <w:szCs w:val="32"/>
          <w:lang w:eastAsia="zh-CN"/>
        </w:rPr>
        <w:t>食品的</w:t>
      </w:r>
      <w:r>
        <w:rPr>
          <w:rFonts w:hint="eastAsia" w:ascii="仿宋_GB2312" w:hAnsi="Times New Roman" w:eastAsia="仿宋_GB2312" w:cs="Times New Roman"/>
          <w:sz w:val="32"/>
          <w:szCs w:val="32"/>
          <w:lang w:eastAsia="zh-CN"/>
        </w:rPr>
        <w:t>基础设施之一，在</w:t>
      </w:r>
      <w:r>
        <w:rPr>
          <w:rFonts w:hint="eastAsia" w:ascii="仿宋_GB2312" w:eastAsia="仿宋_GB2312" w:cs="Times New Roman"/>
          <w:sz w:val="32"/>
          <w:szCs w:val="32"/>
          <w:lang w:eastAsia="zh-CN"/>
        </w:rPr>
        <w:t>提高食品品质中</w:t>
      </w:r>
      <w:r>
        <w:rPr>
          <w:rFonts w:hint="eastAsia" w:ascii="仿宋_GB2312" w:hAnsi="Times New Roman" w:eastAsia="仿宋_GB2312" w:cs="Times New Roman"/>
          <w:sz w:val="32"/>
          <w:szCs w:val="32"/>
          <w:lang w:eastAsia="zh-CN"/>
        </w:rPr>
        <w:t>扮演者很重要的角色。随着消费者对食品</w:t>
      </w:r>
      <w:r>
        <w:rPr>
          <w:rFonts w:hint="eastAsia" w:ascii="仿宋_GB2312" w:eastAsia="仿宋_GB2312" w:cs="Times New Roman"/>
          <w:sz w:val="32"/>
          <w:szCs w:val="32"/>
          <w:lang w:eastAsia="zh-CN"/>
        </w:rPr>
        <w:t>安全</w:t>
      </w:r>
      <w:r>
        <w:rPr>
          <w:rFonts w:hint="eastAsia" w:ascii="仿宋_GB2312" w:hAnsi="Times New Roman" w:eastAsia="仿宋_GB2312" w:cs="Times New Roman"/>
          <w:sz w:val="32"/>
          <w:szCs w:val="32"/>
          <w:lang w:eastAsia="zh-CN"/>
        </w:rPr>
        <w:t>要求越来越高，对冷库设施要求也逐渐提高。</w:t>
      </w:r>
      <w:r>
        <w:rPr>
          <w:rFonts w:hint="eastAsia" w:ascii="仿宋_GB2312" w:eastAsia="仿宋_GB2312" w:cs="Times New Roman"/>
          <w:sz w:val="32"/>
          <w:szCs w:val="32"/>
          <w:lang w:eastAsia="zh-CN"/>
        </w:rPr>
        <w:t>去年，我局根据省市场监管局的部署要求，对</w:t>
      </w:r>
      <w:r>
        <w:rPr>
          <w:rFonts w:hint="eastAsia" w:ascii="仿宋_GB2312" w:hAnsi="Times New Roman" w:eastAsia="仿宋_GB2312" w:cs="Times New Roman"/>
          <w:sz w:val="32"/>
          <w:szCs w:val="32"/>
          <w:lang w:eastAsia="zh-CN"/>
        </w:rPr>
        <w:t>进口冷链食品相关企业疫情防控风险</w:t>
      </w:r>
      <w:r>
        <w:rPr>
          <w:rFonts w:hint="eastAsia" w:ascii="仿宋_GB2312" w:eastAsia="仿宋_GB2312" w:cs="Times New Roman"/>
          <w:sz w:val="32"/>
          <w:szCs w:val="32"/>
          <w:lang w:eastAsia="zh-CN"/>
        </w:rPr>
        <w:t>进行了</w:t>
      </w:r>
      <w:r>
        <w:rPr>
          <w:rFonts w:hint="eastAsia" w:ascii="仿宋_GB2312" w:hAnsi="Times New Roman" w:eastAsia="仿宋_GB2312" w:cs="Times New Roman"/>
          <w:sz w:val="32"/>
          <w:szCs w:val="32"/>
          <w:lang w:eastAsia="zh-CN"/>
        </w:rPr>
        <w:t>排查</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对我市辖区内的冷链食品进口商、进口冷链食品生产企业、食品冷库企业、冷链协会企业进行排查核对。重点对冷库</w:t>
      </w:r>
      <w:r>
        <w:rPr>
          <w:rFonts w:hint="eastAsia" w:ascii="仿宋_GB2312" w:hAnsi="Times New Roman" w:eastAsia="仿宋_GB2312" w:cs="Times New Roman"/>
          <w:sz w:val="32"/>
          <w:szCs w:val="32"/>
          <w:lang w:val="en-US" w:eastAsia="zh-CN"/>
        </w:rPr>
        <w:t>资质情况、冷链从业人员健康管理制落实情况、销售规范情况、冷链食品存储情况等进行检查。在该行动中，我局出动执法人员1398人次，排查冷链食品进口商14家，进口冷链生产企业7家，食品冷库企业297家，排查相关食品企业254家，</w:t>
      </w:r>
      <w:r>
        <w:rPr>
          <w:rFonts w:hint="eastAsia" w:ascii="仿宋_GB2312" w:hAnsi="Times New Roman" w:eastAsia="仿宋_GB2312" w:cs="Times New Roman"/>
          <w:sz w:val="32"/>
          <w:szCs w:val="32"/>
          <w:lang w:eastAsia="zh-CN"/>
        </w:rPr>
        <w:t>总体排查情况良好，未发现重大风险隐患。</w:t>
      </w:r>
    </w:p>
    <w:p>
      <w:pPr>
        <w:spacing w:line="560" w:lineRule="exact"/>
        <w:ind w:firstLine="64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今年，我局根据</w:t>
      </w:r>
      <w:r>
        <w:rPr>
          <w:rFonts w:hint="eastAsia" w:ascii="仿宋_GB2312" w:hAnsi="Times New Roman" w:eastAsia="仿宋_GB2312" w:cs="Times New Roman"/>
          <w:sz w:val="32"/>
          <w:szCs w:val="32"/>
          <w:lang w:eastAsia="zh-CN"/>
        </w:rPr>
        <w:t>省疫情防控冷链食品物防专班</w:t>
      </w:r>
      <w:r>
        <w:rPr>
          <w:rFonts w:hint="eastAsia" w:ascii="仿宋_GB2312" w:eastAsia="仿宋_GB2312" w:cs="Times New Roman"/>
          <w:sz w:val="32"/>
          <w:szCs w:val="32"/>
          <w:lang w:eastAsia="zh-CN"/>
        </w:rPr>
        <w:t>要求，组织开展了</w:t>
      </w:r>
      <w:r>
        <w:rPr>
          <w:rFonts w:hint="eastAsia" w:ascii="仿宋_GB2312" w:hAnsi="Times New Roman" w:eastAsia="仿宋_GB2312" w:cs="Times New Roman"/>
          <w:sz w:val="32"/>
          <w:szCs w:val="32"/>
          <w:lang w:eastAsia="zh-CN"/>
        </w:rPr>
        <w:t>冷库大排查</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对辖区内所有从事冷藏冷冻食品贮存业务的大于10m³冷库进行全面排摸，重点核对冷库主体信息是否有误、是否储存进口冷链食品、进口冷链食品是否具有“三证一码”、储存进口冷链食品冷库的直接暴露人员和间接暴露人员名单是否登记造册、人员是否定期接受核酸检测。督促冷库企业严格落实经营承诺制度、定期核酸检测制度、人员健康管理制度、从业人员个人防护制度。此次冷库大排查共排查相关冷库</w:t>
      </w:r>
      <w:r>
        <w:rPr>
          <w:rFonts w:hint="eastAsia" w:ascii="仿宋_GB2312" w:hAnsi="Times New Roman" w:eastAsia="仿宋_GB2312" w:cs="Times New Roman"/>
          <w:sz w:val="32"/>
          <w:szCs w:val="32"/>
          <w:lang w:val="en-US" w:eastAsia="zh-CN"/>
        </w:rPr>
        <w:t>251家，排查到进口冷库从业人员363人。</w:t>
      </w:r>
      <w:r>
        <w:rPr>
          <w:rFonts w:hint="eastAsia" w:ascii="仿宋_GB2312" w:eastAsia="仿宋_GB2312" w:cs="Times New Roman"/>
          <w:sz w:val="32"/>
          <w:szCs w:val="32"/>
          <w:lang w:val="en-US" w:eastAsia="zh-CN"/>
        </w:rPr>
        <w:t>据了解，</w:t>
      </w:r>
      <w:r>
        <w:rPr>
          <w:rFonts w:hint="eastAsia" w:ascii="仿宋_GB2312" w:hAnsi="Times New Roman" w:eastAsia="仿宋_GB2312" w:cs="Times New Roman"/>
          <w:sz w:val="32"/>
          <w:szCs w:val="32"/>
          <w:lang w:val="en-US" w:eastAsia="zh-CN"/>
        </w:rPr>
        <w:t>我市</w:t>
      </w:r>
      <w:r>
        <w:rPr>
          <w:rFonts w:hint="eastAsia" w:ascii="仿宋_GB2312" w:hAnsi="Times New Roman" w:eastAsia="仿宋_GB2312" w:cs="Times New Roman"/>
          <w:sz w:val="32"/>
          <w:szCs w:val="32"/>
          <w:lang w:eastAsia="zh-CN"/>
        </w:rPr>
        <w:t>快速推进食品冷链风险智控应用场景建设工作，目前</w:t>
      </w:r>
      <w:r>
        <w:rPr>
          <w:rFonts w:hint="eastAsia" w:ascii="仿宋_GB2312" w:hAnsi="Times New Roman" w:eastAsia="仿宋_GB2312" w:cs="Times New Roman"/>
          <w:sz w:val="32"/>
          <w:szCs w:val="32"/>
          <w:lang w:val="en-US" w:eastAsia="zh-CN"/>
        </w:rPr>
        <w:t>辖区内共有4家容积超过500m³的冷库企业，已安装温控监控系统</w:t>
      </w:r>
      <w:r>
        <w:rPr>
          <w:rFonts w:hint="eastAsia" w:ascii="仿宋_GB2312" w:hAnsi="Times New Roman" w:eastAsia="仿宋_GB2312" w:cs="Times New Roman"/>
          <w:sz w:val="32"/>
          <w:szCs w:val="32"/>
          <w:lang w:eastAsia="zh-CN"/>
        </w:rPr>
        <w:t>。</w:t>
      </w:r>
    </w:p>
    <w:p>
      <w:pPr>
        <w:spacing w:line="560" w:lineRule="exact"/>
        <w:rPr>
          <w:rFonts w:hint="eastAsia" w:ascii="仿宋_GB2312" w:hAnsi="Times New Roman" w:eastAsia="仿宋_GB2312" w:cs="Times New Roman"/>
          <w:sz w:val="32"/>
          <w:szCs w:val="32"/>
          <w:lang w:eastAsia="zh-CN"/>
        </w:rPr>
      </w:pPr>
    </w:p>
    <w:p>
      <w:pPr>
        <w:spacing w:line="56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　　　　　　　　　　　　　　　　　慈溪市市场监管局</w:t>
      </w:r>
    </w:p>
    <w:p>
      <w:pPr>
        <w:spacing w:line="56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　　　　　　　　　　　　　　　　　2021年4月</w:t>
      </w:r>
      <w:r>
        <w:rPr>
          <w:rFonts w:hint="eastAsia" w:ascii="仿宋_GB2312" w:eastAsia="仿宋_GB2312" w:cs="Times New Roman"/>
          <w:sz w:val="32"/>
          <w:szCs w:val="32"/>
          <w:lang w:val="en-US" w:eastAsia="zh-CN"/>
        </w:rPr>
        <w:t>13</w:t>
      </w:r>
      <w:r>
        <w:rPr>
          <w:rFonts w:hint="eastAsia" w:ascii="仿宋_GB2312" w:hAnsi="Times New Roman" w:eastAsia="仿宋_GB2312" w:cs="Times New Roman"/>
          <w:sz w:val="32"/>
          <w:szCs w:val="32"/>
          <w:lang w:eastAsia="zh-CN"/>
        </w:rPr>
        <w:t>日</w:t>
      </w:r>
    </w:p>
    <w:p>
      <w:pPr>
        <w:spacing w:line="560" w:lineRule="exact"/>
        <w:rPr>
          <w:rFonts w:hint="eastAsia" w:ascii="仿宋_GB2312" w:hAnsi="Times New Roman" w:eastAsia="仿宋_GB2312" w:cs="Times New Roman"/>
          <w:sz w:val="32"/>
          <w:szCs w:val="32"/>
          <w:lang w:eastAsia="zh-CN"/>
        </w:rPr>
      </w:pPr>
    </w:p>
    <w:p>
      <w:pPr>
        <w:spacing w:line="560" w:lineRule="exact"/>
        <w:ind w:firstLine="640"/>
        <w:rPr>
          <w:rFonts w:hint="eastAsia" w:ascii="仿宋_GB2312" w:eastAsia="仿宋_GB2312" w:cs="Times New Roman"/>
          <w:sz w:val="32"/>
          <w:szCs w:val="32"/>
          <w:lang w:eastAsia="zh-CN"/>
        </w:rPr>
      </w:pPr>
      <w:r>
        <w:rPr>
          <w:rFonts w:hint="eastAsia" w:ascii="仿宋_GB2312" w:hAnsi="Times New Roman" w:eastAsia="仿宋_GB2312" w:cs="Times New Roman"/>
          <w:sz w:val="32"/>
          <w:szCs w:val="32"/>
          <w:lang w:eastAsia="zh-CN"/>
        </w:rPr>
        <w:t>联 系 人：</w:t>
      </w:r>
      <w:r>
        <w:rPr>
          <w:rFonts w:hint="eastAsia" w:ascii="仿宋_GB2312" w:eastAsia="仿宋_GB2312" w:cs="Times New Roman"/>
          <w:sz w:val="32"/>
          <w:szCs w:val="32"/>
          <w:lang w:eastAsia="zh-CN"/>
        </w:rPr>
        <w:t>邹战战</w:t>
      </w:r>
    </w:p>
    <w:p>
      <w:pPr>
        <w:spacing w:line="560" w:lineRule="exact"/>
        <w:ind w:firstLine="64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联系电话：63</w:t>
      </w:r>
      <w:r>
        <w:rPr>
          <w:rFonts w:hint="eastAsia" w:ascii="仿宋_GB2312" w:eastAsia="仿宋_GB2312" w:cs="Times New Roman"/>
          <w:sz w:val="32"/>
          <w:szCs w:val="32"/>
          <w:lang w:val="en-US" w:eastAsia="zh-CN"/>
        </w:rPr>
        <w:t>267857</w:t>
      </w:r>
    </w:p>
    <w:sectPr>
      <w:footerReference r:id="rId3"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10E"/>
    <w:rsid w:val="0000734D"/>
    <w:rsid w:val="000255B5"/>
    <w:rsid w:val="00071E7E"/>
    <w:rsid w:val="000942DC"/>
    <w:rsid w:val="000A4C07"/>
    <w:rsid w:val="000D7874"/>
    <w:rsid w:val="00102407"/>
    <w:rsid w:val="00142F63"/>
    <w:rsid w:val="001C7CDA"/>
    <w:rsid w:val="00200010"/>
    <w:rsid w:val="00211EC0"/>
    <w:rsid w:val="0021410E"/>
    <w:rsid w:val="002B0E9C"/>
    <w:rsid w:val="002E7F59"/>
    <w:rsid w:val="00370948"/>
    <w:rsid w:val="003A1003"/>
    <w:rsid w:val="003F5590"/>
    <w:rsid w:val="00407734"/>
    <w:rsid w:val="00453846"/>
    <w:rsid w:val="004714D2"/>
    <w:rsid w:val="0048596D"/>
    <w:rsid w:val="004B2ED6"/>
    <w:rsid w:val="005C2DA3"/>
    <w:rsid w:val="00623D47"/>
    <w:rsid w:val="006F7ADD"/>
    <w:rsid w:val="007023E8"/>
    <w:rsid w:val="00716F63"/>
    <w:rsid w:val="00730678"/>
    <w:rsid w:val="00730D80"/>
    <w:rsid w:val="007362AC"/>
    <w:rsid w:val="0079509B"/>
    <w:rsid w:val="007B0976"/>
    <w:rsid w:val="007F64B5"/>
    <w:rsid w:val="00825B4A"/>
    <w:rsid w:val="00825D2D"/>
    <w:rsid w:val="0084390D"/>
    <w:rsid w:val="00982F95"/>
    <w:rsid w:val="00994816"/>
    <w:rsid w:val="00A0128D"/>
    <w:rsid w:val="00A62572"/>
    <w:rsid w:val="00AE6B23"/>
    <w:rsid w:val="00B05616"/>
    <w:rsid w:val="00B53C25"/>
    <w:rsid w:val="00B81673"/>
    <w:rsid w:val="00B931DC"/>
    <w:rsid w:val="00C45F30"/>
    <w:rsid w:val="00CC554F"/>
    <w:rsid w:val="00D21412"/>
    <w:rsid w:val="00E129C0"/>
    <w:rsid w:val="00EC0C62"/>
    <w:rsid w:val="00F101DB"/>
    <w:rsid w:val="00F44AEA"/>
    <w:rsid w:val="00F70388"/>
    <w:rsid w:val="00F94663"/>
    <w:rsid w:val="00FD56DA"/>
    <w:rsid w:val="00FD590E"/>
    <w:rsid w:val="051F6D80"/>
    <w:rsid w:val="1FA818CA"/>
    <w:rsid w:val="23DF5B70"/>
    <w:rsid w:val="29CD21FC"/>
    <w:rsid w:val="2EDF60A4"/>
    <w:rsid w:val="36E309E8"/>
    <w:rsid w:val="391056DA"/>
    <w:rsid w:val="3D561B17"/>
    <w:rsid w:val="57660099"/>
    <w:rsid w:val="5C9E6A00"/>
    <w:rsid w:val="5DDE5812"/>
    <w:rsid w:val="5EF25A23"/>
    <w:rsid w:val="619458A7"/>
    <w:rsid w:val="65837957"/>
    <w:rsid w:val="6DF0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spacing w:before="236" w:after="0"/>
      <w:ind w:left="120" w:firstLine="420" w:firstLineChars="100"/>
    </w:pPr>
    <w:rPr>
      <w:rFonts w:hint="eastAsia" w:ascii="仿宋_GB2312" w:eastAsia="仿宋_GB2312"/>
      <w:kern w:val="0"/>
      <w:sz w:val="32"/>
      <w:szCs w:val="32"/>
    </w:rPr>
  </w:style>
  <w:style w:type="paragraph" w:styleId="3">
    <w:name w:val="Body Text"/>
    <w:basedOn w:val="1"/>
    <w:unhideWhenUsed/>
    <w:qFormat/>
    <w:uiPriority w:val="99"/>
    <w:pPr>
      <w:spacing w:after="120"/>
    </w:pPr>
  </w:style>
  <w:style w:type="paragraph" w:styleId="4">
    <w:name w:val="Body Text First Indent 2"/>
    <w:basedOn w:val="5"/>
    <w:unhideWhenUsed/>
    <w:qFormat/>
    <w:uiPriority w:val="99"/>
    <w:pPr>
      <w:spacing w:line="380" w:lineRule="exact"/>
      <w:ind w:firstLine="420" w:firstLineChars="200"/>
    </w:pPr>
    <w:rPr>
      <w:rFonts w:ascii="Times New Roman" w:hAnsi="Times New Roman" w:eastAsia="方正书宋简体"/>
      <w:kern w:val="0"/>
      <w:szCs w:val="20"/>
    </w:rPr>
  </w:style>
  <w:style w:type="paragraph" w:styleId="5">
    <w:name w:val="Body Text Indent"/>
    <w:basedOn w:val="1"/>
    <w:unhideWhenUsed/>
    <w:qFormat/>
    <w:uiPriority w:val="99"/>
    <w:pPr>
      <w:spacing w:after="120"/>
      <w:ind w:left="420" w:leftChars="200"/>
    </w:p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character" w:customStyle="1" w:styleId="13">
    <w:name w:val="font3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176</Words>
  <Characters>1004</Characters>
  <Lines>8</Lines>
  <Paragraphs>2</Paragraphs>
  <TotalTime>0</TotalTime>
  <ScaleCrop>false</ScaleCrop>
  <LinksUpToDate>false</LinksUpToDate>
  <CharactersWithSpaces>1178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2019-04-11T03:37:00Z</dcterms:created>
  <dc:creator>岑建达</dc:creator>
  <cp:lastModifiedBy>Administrator</cp:lastModifiedBy>
  <dcterms:modified xsi:type="dcterms:W3CDTF">2022-04-20T03:56:51Z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