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4CE0A" w14:textId="77777777" w:rsidR="00350AC5" w:rsidRPr="00103676" w:rsidRDefault="00350AC5" w:rsidP="002E3818">
      <w:pPr>
        <w:widowControl w:val="0"/>
        <w:spacing w:after="0" w:line="700" w:lineRule="exact"/>
        <w:jc w:val="center"/>
        <w:rPr>
          <w:rFonts w:ascii="宋体" w:eastAsia="宋体" w:hAnsi="宋体"/>
          <w:b/>
          <w:color w:val="000000"/>
          <w:sz w:val="44"/>
          <w:szCs w:val="44"/>
        </w:rPr>
      </w:pPr>
    </w:p>
    <w:p w14:paraId="4B24CE0B" w14:textId="77777777" w:rsidR="00350AC5" w:rsidRPr="00103676" w:rsidRDefault="00350AC5" w:rsidP="002E3818">
      <w:pPr>
        <w:widowControl w:val="0"/>
        <w:spacing w:after="0" w:line="700" w:lineRule="exact"/>
        <w:jc w:val="center"/>
        <w:rPr>
          <w:rFonts w:ascii="宋体" w:eastAsia="宋体" w:hAnsi="宋体"/>
          <w:b/>
          <w:color w:val="000000"/>
          <w:sz w:val="44"/>
          <w:szCs w:val="44"/>
        </w:rPr>
      </w:pPr>
      <w:r w:rsidRPr="00103676">
        <w:rPr>
          <w:rFonts w:ascii="宋体" w:eastAsia="宋体" w:hAnsi="宋体" w:hint="eastAsia"/>
          <w:b/>
          <w:color w:val="000000"/>
          <w:sz w:val="44"/>
          <w:szCs w:val="44"/>
        </w:rPr>
        <w:t>关于鼓励发展智能经济</w:t>
      </w:r>
    </w:p>
    <w:p w14:paraId="4B24CE0C" w14:textId="77777777" w:rsidR="00350AC5" w:rsidRPr="00103676" w:rsidRDefault="00350AC5" w:rsidP="002E3818">
      <w:pPr>
        <w:widowControl w:val="0"/>
        <w:spacing w:after="0" w:line="700" w:lineRule="exact"/>
        <w:jc w:val="center"/>
        <w:rPr>
          <w:rFonts w:ascii="仿宋_GB2312" w:eastAsia="仿宋_GB2312" w:hAnsi="黑体"/>
          <w:color w:val="000000"/>
          <w:sz w:val="32"/>
          <w:szCs w:val="32"/>
        </w:rPr>
      </w:pPr>
      <w:r w:rsidRPr="00103676">
        <w:rPr>
          <w:rFonts w:ascii="宋体" w:eastAsia="宋体" w:hAnsi="宋体" w:hint="eastAsia"/>
          <w:b/>
          <w:color w:val="000000"/>
          <w:sz w:val="44"/>
          <w:szCs w:val="44"/>
        </w:rPr>
        <w:t>促进企业转型升级的建议</w:t>
      </w:r>
    </w:p>
    <w:p w14:paraId="4B24CE0D" w14:textId="77777777" w:rsidR="00350AC5" w:rsidRDefault="00350AC5" w:rsidP="002E3818">
      <w:pPr>
        <w:widowControl w:val="0"/>
        <w:spacing w:after="0" w:line="560" w:lineRule="exact"/>
        <w:ind w:firstLineChars="200" w:firstLine="640"/>
        <w:jc w:val="both"/>
        <w:rPr>
          <w:rFonts w:ascii="仿宋_GB2312" w:eastAsia="仿宋_GB2312" w:hAnsi="仿宋" w:cs="Arial"/>
          <w:color w:val="000000"/>
          <w:sz w:val="32"/>
          <w:szCs w:val="32"/>
        </w:rPr>
      </w:pPr>
    </w:p>
    <w:p w14:paraId="4B24CE0E" w14:textId="77777777" w:rsidR="00350AC5" w:rsidRPr="00103676" w:rsidRDefault="00350AC5" w:rsidP="002E3818">
      <w:pPr>
        <w:widowControl w:val="0"/>
        <w:spacing w:after="0" w:line="560" w:lineRule="exact"/>
        <w:jc w:val="both"/>
        <w:rPr>
          <w:rFonts w:ascii="楷体_GB2312" w:eastAsia="楷体_GB2312" w:hAnsi="仿宋" w:cs="Arial"/>
          <w:color w:val="000000"/>
          <w:sz w:val="32"/>
          <w:szCs w:val="32"/>
        </w:rPr>
      </w:pPr>
      <w:r w:rsidRPr="00103676">
        <w:rPr>
          <w:rFonts w:ascii="楷体_GB2312" w:eastAsia="楷体_GB2312" w:hAnsi="仿宋" w:cs="Arial" w:hint="eastAsia"/>
          <w:color w:val="000000"/>
          <w:sz w:val="32"/>
          <w:szCs w:val="32"/>
        </w:rPr>
        <w:t>领衔代表：丁小根</w:t>
      </w:r>
    </w:p>
    <w:p w14:paraId="4B24CE0F" w14:textId="77777777" w:rsidR="00350AC5" w:rsidRPr="00103676" w:rsidRDefault="00350AC5" w:rsidP="002E3818">
      <w:pPr>
        <w:widowControl w:val="0"/>
        <w:spacing w:after="0" w:line="560" w:lineRule="exact"/>
        <w:jc w:val="both"/>
        <w:rPr>
          <w:rFonts w:ascii="楷体_GB2312" w:eastAsia="楷体_GB2312" w:hAnsi="仿宋" w:cs="Arial"/>
          <w:color w:val="000000"/>
          <w:sz w:val="32"/>
          <w:szCs w:val="32"/>
        </w:rPr>
      </w:pPr>
      <w:r w:rsidRPr="00103676">
        <w:rPr>
          <w:rFonts w:ascii="楷体_GB2312" w:eastAsia="楷体_GB2312" w:hAnsi="仿宋" w:cs="Arial" w:hint="eastAsia"/>
          <w:color w:val="000000"/>
          <w:sz w:val="32"/>
          <w:szCs w:val="32"/>
        </w:rPr>
        <w:t>附议代表：</w:t>
      </w:r>
    </w:p>
    <w:p w14:paraId="4B24CE10" w14:textId="77777777" w:rsidR="00350AC5" w:rsidRPr="00103676" w:rsidRDefault="00350AC5" w:rsidP="002E3818">
      <w:pPr>
        <w:widowControl w:val="0"/>
        <w:spacing w:after="0" w:line="560" w:lineRule="exact"/>
        <w:jc w:val="both"/>
        <w:rPr>
          <w:rFonts w:ascii="楷体_GB2312" w:eastAsia="楷体_GB2312" w:hAnsi="仿宋" w:cs="Arial"/>
          <w:color w:val="000000"/>
          <w:sz w:val="32"/>
          <w:szCs w:val="32"/>
        </w:rPr>
      </w:pPr>
    </w:p>
    <w:p w14:paraId="4B24CE11" w14:textId="77777777" w:rsidR="00350AC5" w:rsidRPr="00103676" w:rsidRDefault="00350AC5" w:rsidP="002E3818">
      <w:pPr>
        <w:widowControl w:val="0"/>
        <w:spacing w:after="0" w:line="560" w:lineRule="exact"/>
        <w:ind w:firstLineChars="200" w:firstLine="640"/>
        <w:jc w:val="both"/>
        <w:rPr>
          <w:rFonts w:ascii="仿宋_GB2312" w:eastAsia="仿宋_GB2312" w:hAnsi="仿宋" w:cs="Arial"/>
          <w:color w:val="000000"/>
          <w:sz w:val="32"/>
          <w:szCs w:val="32"/>
        </w:rPr>
      </w:pPr>
      <w:r w:rsidRPr="00103676">
        <w:rPr>
          <w:rFonts w:ascii="仿宋_GB2312" w:eastAsia="仿宋_GB2312" w:hAnsi="仿宋" w:cs="Arial" w:hint="eastAsia"/>
          <w:color w:val="000000"/>
          <w:sz w:val="32"/>
          <w:szCs w:val="32"/>
        </w:rPr>
        <w:t>智能经济是以智能机和信息网络为基础、平台和工具的智慧经济，是智慧经济形态的组成部分，突出了智慧经济中智能机和信息网络的地位和作用，体现了知识经济形态和信息经济形态的历史衔接。</w:t>
      </w:r>
    </w:p>
    <w:p w14:paraId="4B24CE12"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党的十九大报告强调，要“加快发展先进制造业，推动互联网、大数据、人工智能和实体经济深度融合”，以智能制造引领传统产业升级发展，成为当前振兴实体经济、建设现代化经济体系的重要抓手。去年以来，我市牢牢抓住“一带一路”建设、“中国制造</w:t>
      </w:r>
      <w:r w:rsidRPr="00103676">
        <w:rPr>
          <w:rFonts w:ascii="仿宋_GB2312" w:eastAsia="仿宋_GB2312" w:hAnsi="仿宋"/>
          <w:sz w:val="32"/>
          <w:szCs w:val="32"/>
        </w:rPr>
        <w:t>2025</w:t>
      </w:r>
      <w:r w:rsidRPr="00103676">
        <w:rPr>
          <w:rFonts w:ascii="仿宋_GB2312" w:eastAsia="仿宋_GB2312" w:hAnsi="仿宋" w:hint="eastAsia"/>
          <w:sz w:val="32"/>
          <w:szCs w:val="32"/>
        </w:rPr>
        <w:t>”等机遇，充分发挥五大产业平台的重要支撑作用，为区域经济转型升级注入了强大动力，为慈溪实现“二次创业”、“二次腾飞”插上了有力翅膀。</w:t>
      </w:r>
    </w:p>
    <w:p w14:paraId="4B24CE13" w14:textId="5BA632BE"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就拿我们逍林的情况来说吧，如“浙江超超安全阀制造有限公司”</w:t>
      </w:r>
      <w:r w:rsidR="002E3818">
        <w:rPr>
          <w:rFonts w:ascii="仿宋_GB2312" w:eastAsia="仿宋_GB2312" w:hAnsi="仿宋" w:hint="eastAsia"/>
          <w:sz w:val="32"/>
          <w:szCs w:val="32"/>
        </w:rPr>
        <w:t>、</w:t>
      </w:r>
      <w:r w:rsidRPr="00103676">
        <w:rPr>
          <w:rFonts w:ascii="仿宋_GB2312" w:eastAsia="仿宋_GB2312" w:hAnsi="仿宋" w:hint="eastAsia"/>
          <w:sz w:val="32"/>
          <w:szCs w:val="32"/>
        </w:rPr>
        <w:t>“宁波福尔达智能科技股份有限公司”</w:t>
      </w:r>
      <w:r w:rsidR="002E3818">
        <w:rPr>
          <w:rFonts w:ascii="仿宋_GB2312" w:eastAsia="仿宋_GB2312" w:hAnsi="仿宋" w:hint="eastAsia"/>
          <w:sz w:val="32"/>
          <w:szCs w:val="32"/>
        </w:rPr>
        <w:t>、</w:t>
      </w:r>
      <w:r w:rsidRPr="00103676">
        <w:rPr>
          <w:rFonts w:ascii="仿宋_GB2312" w:eastAsia="仿宋_GB2312" w:hAnsi="仿宋" w:hint="eastAsia"/>
          <w:sz w:val="32"/>
          <w:szCs w:val="32"/>
        </w:rPr>
        <w:t>“宁波东旭成新材料科技有限公司”等企业，引进自动化设备，为企业</w:t>
      </w:r>
      <w:r w:rsidRPr="00103676">
        <w:rPr>
          <w:rFonts w:ascii="仿宋_GB2312" w:eastAsia="仿宋_GB2312" w:hAnsi="仿宋" w:hint="eastAsia"/>
          <w:sz w:val="32"/>
          <w:szCs w:val="32"/>
        </w:rPr>
        <w:lastRenderedPageBreak/>
        <w:t>的经济发展，提供了一种新动能，缔造了一种新的“虚拟劳动力”。特别是“宁波友谊铜业有限公司”引进智能设备后，员工从原来的</w:t>
      </w:r>
      <w:r w:rsidRPr="00103676">
        <w:rPr>
          <w:rFonts w:ascii="仿宋_GB2312" w:eastAsia="仿宋_GB2312" w:hAnsi="仿宋"/>
          <w:sz w:val="32"/>
          <w:szCs w:val="32"/>
        </w:rPr>
        <w:t>530</w:t>
      </w:r>
      <w:r w:rsidRPr="00103676">
        <w:rPr>
          <w:rFonts w:ascii="仿宋_GB2312" w:eastAsia="仿宋_GB2312" w:hAnsi="仿宋" w:hint="eastAsia"/>
          <w:sz w:val="32"/>
          <w:szCs w:val="32"/>
        </w:rPr>
        <w:t>人减至</w:t>
      </w:r>
      <w:r w:rsidRPr="00103676">
        <w:rPr>
          <w:rFonts w:ascii="仿宋_GB2312" w:eastAsia="仿宋_GB2312" w:hAnsi="仿宋"/>
          <w:sz w:val="32"/>
          <w:szCs w:val="32"/>
        </w:rPr>
        <w:t>170</w:t>
      </w:r>
      <w:r w:rsidRPr="00103676">
        <w:rPr>
          <w:rFonts w:ascii="仿宋_GB2312" w:eastAsia="仿宋_GB2312" w:hAnsi="仿宋" w:hint="eastAsia"/>
          <w:sz w:val="32"/>
          <w:szCs w:val="32"/>
        </w:rPr>
        <w:t>人，减少了企业成本，提高了企业效益，促进了企业转型升级。虽然机器人经济，可能将无可避免地引发一系列工作岗位消失，但从长远看，这样的自动化经济，某种意义上反而可以进一步扩大一个国家和一个地区的经济优势，从而进一步促进就业高水平、高增长。</w:t>
      </w:r>
    </w:p>
    <w:p w14:paraId="4B24CE14" w14:textId="11F59D29"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然而，我们也清醒地看到，我市发展中还有不少不平衡不充分的问题。主要是：新经济、新动能培育还</w:t>
      </w:r>
      <w:r w:rsidR="002E3818">
        <w:rPr>
          <w:rFonts w:ascii="仿宋_GB2312" w:eastAsia="仿宋_GB2312" w:hAnsi="仿宋" w:hint="eastAsia"/>
          <w:sz w:val="32"/>
          <w:szCs w:val="32"/>
        </w:rPr>
        <w:t>不</w:t>
      </w:r>
      <w:r w:rsidRPr="00103676">
        <w:rPr>
          <w:rFonts w:ascii="仿宋_GB2312" w:eastAsia="仿宋_GB2312" w:hAnsi="仿宋" w:hint="eastAsia"/>
          <w:sz w:val="32"/>
          <w:szCs w:val="32"/>
        </w:rPr>
        <w:t>够快，民间投资、工业投资拉动仍不够强，引领型的大项目好项目不够多，传统产业改造提升、新兴产业加快壮大任务仍较艰巨。</w:t>
      </w:r>
    </w:p>
    <w:p w14:paraId="4B24CE15"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智能经济，就是借助人工智能新技术实现自动化。这种自动化，将极大提高生产率，节省劳动力成本；通过优化行业现有产品和服务，提升其质量和劳动生产率，通过创造新市场、新就业等促进市场更加繁荣，开拓更广阔的市场空间。这些，都将极大地提升社会的劳动生产率，促进社会的繁荣与发展。至此，特提出如下四点建设性建议，供市领导决策参考。</w:t>
      </w:r>
    </w:p>
    <w:p w14:paraId="4B24CE16" w14:textId="77777777" w:rsidR="00350AC5" w:rsidRPr="00103676" w:rsidRDefault="00350AC5" w:rsidP="002E3818">
      <w:pPr>
        <w:widowControl w:val="0"/>
        <w:spacing w:after="0" w:line="560" w:lineRule="exact"/>
        <w:ind w:firstLine="645"/>
        <w:jc w:val="both"/>
        <w:rPr>
          <w:rFonts w:ascii="仿宋_GB2312" w:eastAsia="仿宋_GB2312" w:hAnsi="楷体"/>
          <w:b/>
          <w:sz w:val="32"/>
          <w:szCs w:val="32"/>
        </w:rPr>
      </w:pPr>
      <w:r w:rsidRPr="00103676">
        <w:rPr>
          <w:rFonts w:ascii="仿宋_GB2312" w:eastAsia="仿宋_GB2312" w:hAnsi="楷体" w:hint="eastAsia"/>
          <w:b/>
          <w:sz w:val="32"/>
          <w:szCs w:val="32"/>
        </w:rPr>
        <w:t>一要抢抓机遇，优先布局智能制造重点产业</w:t>
      </w:r>
    </w:p>
    <w:p w14:paraId="4B24CE17"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智能制造作为人工智能技术产业化的重要领域，如何有效结合本地产业特征与发展优势，优先布局智能制造重点发展领域，抢抓发展新一代先进制造业发展制高点，是进一步优化产业结构、推动转型升级发展的必然选择。通过在产业发展规</w:t>
      </w:r>
      <w:r w:rsidRPr="00103676">
        <w:rPr>
          <w:rFonts w:ascii="仿宋_GB2312" w:eastAsia="仿宋_GB2312" w:hAnsi="仿宋" w:hint="eastAsia"/>
          <w:sz w:val="32"/>
          <w:szCs w:val="32"/>
        </w:rPr>
        <w:lastRenderedPageBreak/>
        <w:t>划、政策扶持、资金引导等方面的一系列举措，积极引进一批“互联网</w:t>
      </w:r>
      <w:r w:rsidRPr="00103676">
        <w:rPr>
          <w:rFonts w:ascii="仿宋_GB2312" w:eastAsia="仿宋_GB2312" w:hAnsi="仿宋"/>
          <w:sz w:val="32"/>
          <w:szCs w:val="32"/>
        </w:rPr>
        <w:t>+</w:t>
      </w:r>
      <w:r w:rsidRPr="00103676">
        <w:rPr>
          <w:rFonts w:ascii="仿宋_GB2312" w:eastAsia="仿宋_GB2312" w:hAnsi="仿宋" w:hint="eastAsia"/>
          <w:sz w:val="32"/>
          <w:szCs w:val="32"/>
        </w:rPr>
        <w:t>”“标准化</w:t>
      </w:r>
      <w:r w:rsidRPr="00103676">
        <w:rPr>
          <w:rFonts w:ascii="仿宋_GB2312" w:eastAsia="仿宋_GB2312" w:hAnsi="仿宋"/>
          <w:sz w:val="32"/>
          <w:szCs w:val="32"/>
        </w:rPr>
        <w:t>+</w:t>
      </w:r>
      <w:r w:rsidRPr="00103676">
        <w:rPr>
          <w:rFonts w:ascii="仿宋_GB2312" w:eastAsia="仿宋_GB2312" w:hAnsi="仿宋" w:hint="eastAsia"/>
          <w:sz w:val="32"/>
          <w:szCs w:val="32"/>
        </w:rPr>
        <w:t>”“机器人</w:t>
      </w:r>
      <w:r w:rsidRPr="00103676">
        <w:rPr>
          <w:rFonts w:ascii="仿宋_GB2312" w:eastAsia="仿宋_GB2312" w:hAnsi="仿宋"/>
          <w:sz w:val="32"/>
          <w:szCs w:val="32"/>
        </w:rPr>
        <w:t>+</w:t>
      </w:r>
      <w:r w:rsidRPr="00103676">
        <w:rPr>
          <w:rFonts w:ascii="仿宋_GB2312" w:eastAsia="仿宋_GB2312" w:hAnsi="仿宋" w:hint="eastAsia"/>
          <w:sz w:val="32"/>
          <w:szCs w:val="32"/>
        </w:rPr>
        <w:t>”等智能制造代表性企业落户慈溪，带动形成高端制造产业聚集发展之势，直接推动全市产业和经济发展质量得到有效提升。</w:t>
      </w:r>
    </w:p>
    <w:p w14:paraId="4B24CE18" w14:textId="77777777" w:rsidR="00350AC5" w:rsidRPr="00103676" w:rsidRDefault="00350AC5" w:rsidP="002E3818">
      <w:pPr>
        <w:widowControl w:val="0"/>
        <w:spacing w:after="0" w:line="560" w:lineRule="exact"/>
        <w:ind w:firstLine="645"/>
        <w:jc w:val="both"/>
        <w:rPr>
          <w:rFonts w:ascii="仿宋_GB2312" w:eastAsia="仿宋_GB2312" w:hAnsi="楷体"/>
          <w:b/>
          <w:sz w:val="32"/>
          <w:szCs w:val="32"/>
        </w:rPr>
      </w:pPr>
      <w:r w:rsidRPr="00103676">
        <w:rPr>
          <w:rFonts w:ascii="仿宋_GB2312" w:eastAsia="仿宋_GB2312" w:hAnsi="楷体" w:hint="eastAsia"/>
          <w:b/>
          <w:sz w:val="32"/>
          <w:szCs w:val="32"/>
        </w:rPr>
        <w:t>二要发挥优势，培育和做大智能制造龙头企业</w:t>
      </w:r>
    </w:p>
    <w:p w14:paraId="4B24CE19"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紧密结合本地产业发展特征，有效依托现有先进制造优势企业，大力培育智能制造细分领域的龙头企业，通过发挥龙头企业的引领和带动作用，实现区域智能制造领域相关产业实现集群式快速发展。要高度重视行业龙头企业对下游产业链各环节企业的集聚和带动作用，从智能制造产业链发展的重点领域和关键环节着手，一方面吸引全球领先的龙头企业到慈溪设立总部或研发基地，同时积极挖掘一批发展潜力好、具有高成长性的本地企业进行重点培育，推动形成智能制造相关领域产业集群发展之势。</w:t>
      </w:r>
    </w:p>
    <w:p w14:paraId="4B24CE1A" w14:textId="77777777" w:rsidR="00350AC5" w:rsidRPr="00103676" w:rsidRDefault="00350AC5" w:rsidP="002E3818">
      <w:pPr>
        <w:widowControl w:val="0"/>
        <w:spacing w:after="0" w:line="560" w:lineRule="exact"/>
        <w:ind w:firstLine="645"/>
        <w:jc w:val="both"/>
        <w:rPr>
          <w:rFonts w:ascii="仿宋_GB2312" w:eastAsia="仿宋_GB2312" w:hAnsi="楷体"/>
          <w:b/>
          <w:sz w:val="32"/>
          <w:szCs w:val="32"/>
        </w:rPr>
      </w:pPr>
      <w:r w:rsidRPr="00103676">
        <w:rPr>
          <w:rFonts w:ascii="仿宋_GB2312" w:eastAsia="仿宋_GB2312" w:hAnsi="楷体" w:hint="eastAsia"/>
          <w:b/>
          <w:sz w:val="32"/>
          <w:szCs w:val="32"/>
        </w:rPr>
        <w:t>三要补齐短板，大力发展智能制造支撑服务业</w:t>
      </w:r>
    </w:p>
    <w:p w14:paraId="4B24CE1B" w14:textId="79E6C228"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智能制造等先进制造产业的发展离不开相关技术机构服务支持和生产性服务行业的支撑。近年来，我市</w:t>
      </w:r>
      <w:r w:rsidR="002E3818">
        <w:rPr>
          <w:rFonts w:ascii="仿宋_GB2312" w:eastAsia="仿宋_GB2312" w:hAnsi="仿宋" w:hint="eastAsia"/>
          <w:sz w:val="32"/>
          <w:szCs w:val="32"/>
        </w:rPr>
        <w:t>智能制造产业的蓬勃发展，在很大程度上还得益于我们及时补齐了生产性</w:t>
      </w:r>
      <w:r w:rsidRPr="00103676">
        <w:rPr>
          <w:rFonts w:ascii="仿宋_GB2312" w:eastAsia="仿宋_GB2312" w:hAnsi="仿宋" w:hint="eastAsia"/>
          <w:sz w:val="32"/>
          <w:szCs w:val="32"/>
        </w:rPr>
        <w:t>服务业发展这块短板。我们要通过出台一系列的配套扶持政策，不仅吸引一大批生产性服务业企业来慈溪落户和开展业务，而且还积极引导企业发展具有自主知识产权的智能制造技术、软件产品、标准规范，不断加大对智能制造软件企业的扶持力度，</w:t>
      </w:r>
      <w:r w:rsidRPr="00103676">
        <w:rPr>
          <w:rFonts w:ascii="仿宋_GB2312" w:eastAsia="仿宋_GB2312" w:hAnsi="仿宋" w:hint="eastAsia"/>
          <w:sz w:val="32"/>
          <w:szCs w:val="32"/>
        </w:rPr>
        <w:lastRenderedPageBreak/>
        <w:t>鼓励有能力的企业向提供智能制造与信息、知识以及业务流程等要素的全面融合，进而形成支撑智能制造发展的合力。</w:t>
      </w:r>
    </w:p>
    <w:p w14:paraId="4B24CE1C" w14:textId="77777777" w:rsidR="00350AC5" w:rsidRPr="00103676" w:rsidRDefault="00350AC5" w:rsidP="002E3818">
      <w:pPr>
        <w:widowControl w:val="0"/>
        <w:spacing w:after="0" w:line="560" w:lineRule="exact"/>
        <w:ind w:firstLine="645"/>
        <w:jc w:val="both"/>
        <w:rPr>
          <w:rFonts w:ascii="仿宋_GB2312" w:eastAsia="仿宋_GB2312" w:hAnsi="楷体"/>
          <w:b/>
          <w:sz w:val="32"/>
          <w:szCs w:val="32"/>
        </w:rPr>
      </w:pPr>
      <w:r w:rsidRPr="00103676">
        <w:rPr>
          <w:rFonts w:ascii="仿宋_GB2312" w:eastAsia="仿宋_GB2312" w:hAnsi="楷体" w:hint="eastAsia"/>
          <w:b/>
          <w:sz w:val="32"/>
          <w:szCs w:val="32"/>
        </w:rPr>
        <w:t>四要加大投入，不断集聚智能制造高端人才</w:t>
      </w:r>
    </w:p>
    <w:p w14:paraId="4B24CE1D"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r w:rsidRPr="00103676">
        <w:rPr>
          <w:rFonts w:ascii="仿宋_GB2312" w:eastAsia="仿宋_GB2312" w:hAnsi="仿宋" w:hint="eastAsia"/>
          <w:sz w:val="32"/>
          <w:szCs w:val="32"/>
        </w:rPr>
        <w:t>人才是推动智能制造产业发展的核心支撑。近年来，我市通过不断加大对高层次人才的投入力度，对有效吸引和留住智能制造等领域的高端人才起到了非常重要的作用。面对全球日益激烈的人才争夺大战，上级政府要重点围绕智能制造等先进制造产业加大引才力度，重点引进掌握智能制造关键领域核心人才，助推智能制造基础关键技术的研发。同时，要鼓励开展以企业为主体的实用技能教育培训，培育具备智能制造等先进制造业基础技术的实用技能型人才。此外，要通过建立和完善的制造业职业教育培训体系，开展现代学徒制试点示范，为智能制造发展提供源源不断的人才支撑。</w:t>
      </w:r>
    </w:p>
    <w:p w14:paraId="4B24CE1E" w14:textId="77777777" w:rsidR="00350AC5" w:rsidRPr="00103676" w:rsidRDefault="00350AC5" w:rsidP="002E3818">
      <w:pPr>
        <w:widowControl w:val="0"/>
        <w:spacing w:after="0" w:line="560" w:lineRule="exact"/>
        <w:ind w:firstLine="645"/>
        <w:jc w:val="both"/>
        <w:rPr>
          <w:rFonts w:ascii="仿宋_GB2312" w:eastAsia="仿宋_GB2312" w:hAnsi="仿宋"/>
          <w:sz w:val="32"/>
          <w:szCs w:val="32"/>
        </w:rPr>
      </w:pPr>
      <w:bookmarkStart w:id="0" w:name="_GoBack"/>
      <w:bookmarkEnd w:id="0"/>
    </w:p>
    <w:sectPr w:rsidR="00350AC5" w:rsidRPr="00103676" w:rsidSect="00B92228">
      <w:footerReference w:type="even" r:id="rId7"/>
      <w:footerReference w:type="default" r:id="rId8"/>
      <w:pgSz w:w="11906" w:h="16838" w:code="9"/>
      <w:pgMar w:top="2098" w:right="1531" w:bottom="1985" w:left="1531" w:header="1021" w:footer="1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CE21" w14:textId="77777777" w:rsidR="00350AC5" w:rsidRDefault="00350AC5">
      <w:r>
        <w:separator/>
      </w:r>
    </w:p>
  </w:endnote>
  <w:endnote w:type="continuationSeparator" w:id="0">
    <w:p w14:paraId="4B24CE22" w14:textId="77777777" w:rsidR="00350AC5" w:rsidRDefault="0035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CE23" w14:textId="77777777" w:rsidR="00350AC5" w:rsidRDefault="00350AC5" w:rsidP="00A55C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B24CE24" w14:textId="77777777" w:rsidR="00350AC5" w:rsidRDefault="00350A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CE25" w14:textId="77777777" w:rsidR="00350AC5" w:rsidRPr="00B92228" w:rsidRDefault="00350AC5" w:rsidP="00B92228">
    <w:pPr>
      <w:pStyle w:val="a3"/>
      <w:jc w:val="center"/>
      <w:rPr>
        <w:rFonts w:ascii="仿宋_GB2312" w:eastAsia="仿宋_GB2312"/>
        <w:sz w:val="28"/>
        <w:szCs w:val="28"/>
      </w:rPr>
    </w:pPr>
    <w:r w:rsidRPr="00B92228">
      <w:rPr>
        <w:rFonts w:ascii="仿宋_GB2312" w:eastAsia="仿宋_GB2312"/>
        <w:sz w:val="28"/>
        <w:szCs w:val="28"/>
      </w:rPr>
      <w:t xml:space="preserve">- </w:t>
    </w:r>
    <w:r w:rsidRPr="00B92228">
      <w:rPr>
        <w:rFonts w:ascii="仿宋_GB2312" w:eastAsia="仿宋_GB2312"/>
        <w:sz w:val="28"/>
        <w:szCs w:val="28"/>
      </w:rPr>
      <w:fldChar w:fldCharType="begin"/>
    </w:r>
    <w:r w:rsidRPr="00B92228">
      <w:rPr>
        <w:rFonts w:ascii="仿宋_GB2312" w:eastAsia="仿宋_GB2312"/>
        <w:sz w:val="28"/>
        <w:szCs w:val="28"/>
      </w:rPr>
      <w:instrText xml:space="preserve"> PAGE </w:instrText>
    </w:r>
    <w:r w:rsidRPr="00B92228">
      <w:rPr>
        <w:rFonts w:ascii="仿宋_GB2312" w:eastAsia="仿宋_GB2312"/>
        <w:sz w:val="28"/>
        <w:szCs w:val="28"/>
      </w:rPr>
      <w:fldChar w:fldCharType="separate"/>
    </w:r>
    <w:r w:rsidR="002E3818">
      <w:rPr>
        <w:rFonts w:ascii="仿宋_GB2312" w:eastAsia="仿宋_GB2312"/>
        <w:noProof/>
        <w:sz w:val="28"/>
        <w:szCs w:val="28"/>
      </w:rPr>
      <w:t>4</w:t>
    </w:r>
    <w:r w:rsidRPr="00B92228">
      <w:rPr>
        <w:rFonts w:ascii="仿宋_GB2312" w:eastAsia="仿宋_GB2312"/>
        <w:sz w:val="28"/>
        <w:szCs w:val="28"/>
      </w:rPr>
      <w:fldChar w:fldCharType="end"/>
    </w:r>
    <w:r w:rsidRPr="00B92228">
      <w:rPr>
        <w:rFonts w:ascii="仿宋_GB2312" w:eastAsia="仿宋_GB2312"/>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CE1F" w14:textId="77777777" w:rsidR="00350AC5" w:rsidRDefault="00350AC5">
      <w:r>
        <w:separator/>
      </w:r>
    </w:p>
  </w:footnote>
  <w:footnote w:type="continuationSeparator" w:id="0">
    <w:p w14:paraId="4B24CE20" w14:textId="77777777" w:rsidR="00350AC5" w:rsidRDefault="0035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66DB"/>
    <w:rsid w:val="0009761E"/>
    <w:rsid w:val="00103676"/>
    <w:rsid w:val="001739F2"/>
    <w:rsid w:val="002C4142"/>
    <w:rsid w:val="002E3818"/>
    <w:rsid w:val="00323B43"/>
    <w:rsid w:val="00350AC5"/>
    <w:rsid w:val="00393A70"/>
    <w:rsid w:val="003D37D8"/>
    <w:rsid w:val="00426133"/>
    <w:rsid w:val="004358AB"/>
    <w:rsid w:val="005C3CD6"/>
    <w:rsid w:val="005E1A1B"/>
    <w:rsid w:val="006605E4"/>
    <w:rsid w:val="008B7726"/>
    <w:rsid w:val="00A247D6"/>
    <w:rsid w:val="00A55C3B"/>
    <w:rsid w:val="00AE19E1"/>
    <w:rsid w:val="00B10A18"/>
    <w:rsid w:val="00B92228"/>
    <w:rsid w:val="00C4112B"/>
    <w:rsid w:val="00CC03D8"/>
    <w:rsid w:val="00D31D50"/>
    <w:rsid w:val="00DC38D1"/>
    <w:rsid w:val="00E1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92228"/>
    <w:pPr>
      <w:tabs>
        <w:tab w:val="center" w:pos="4153"/>
        <w:tab w:val="right" w:pos="8306"/>
      </w:tabs>
    </w:pPr>
    <w:rPr>
      <w:sz w:val="18"/>
      <w:szCs w:val="18"/>
    </w:rPr>
  </w:style>
  <w:style w:type="character" w:customStyle="1" w:styleId="Char">
    <w:name w:val="页脚 Char"/>
    <w:basedOn w:val="a0"/>
    <w:link w:val="a3"/>
    <w:uiPriority w:val="99"/>
    <w:semiHidden/>
    <w:rsid w:val="00882EB2"/>
    <w:rPr>
      <w:rFonts w:ascii="Tahoma" w:hAnsi="Tahoma"/>
      <w:kern w:val="0"/>
      <w:sz w:val="18"/>
      <w:szCs w:val="18"/>
    </w:rPr>
  </w:style>
  <w:style w:type="character" w:styleId="a4">
    <w:name w:val="page number"/>
    <w:basedOn w:val="a0"/>
    <w:uiPriority w:val="99"/>
    <w:rsid w:val="00B92228"/>
    <w:rPr>
      <w:rFonts w:cs="Times New Roman"/>
    </w:rPr>
  </w:style>
  <w:style w:type="paragraph" w:styleId="a5">
    <w:name w:val="header"/>
    <w:basedOn w:val="a"/>
    <w:link w:val="Char0"/>
    <w:uiPriority w:val="99"/>
    <w:rsid w:val="00B9222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882EB2"/>
    <w:rPr>
      <w:rFonts w:ascii="Tahoma" w:hAnsi="Tahoma"/>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逍林镇003丁小根关于鼓励发展智能经济促进企业转型升级的建议</dc:title>
  <dc:subject/>
  <dc:creator/>
  <cp:keywords/>
  <dc:description/>
  <cp:lastModifiedBy>微软用户</cp:lastModifiedBy>
  <cp:revision>5</cp:revision>
  <dcterms:created xsi:type="dcterms:W3CDTF">2018-01-27T07:07:00Z</dcterms:created>
  <dcterms:modified xsi:type="dcterms:W3CDTF">2018-02-02T08:17:00Z</dcterms:modified>
</cp:coreProperties>
</file>