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黑体" w:hAnsi="黑体" w:eastAsia="黑体"/>
          <w:b w:val="0"/>
          <w:sz w:val="40"/>
        </w:rPr>
      </w:pPr>
      <w:r>
        <w:rPr>
          <w:rFonts w:hint="eastAsia" w:ascii="黑体" w:hAnsi="黑体" w:eastAsia="黑体"/>
          <w:b w:val="0"/>
          <w:sz w:val="40"/>
        </w:rPr>
        <w:t>关于市十七届人大</w:t>
      </w:r>
      <w:r>
        <w:rPr>
          <w:rFonts w:hint="eastAsia" w:ascii="黑体" w:hAnsi="黑体" w:eastAsia="黑体"/>
          <w:b w:val="0"/>
          <w:sz w:val="40"/>
          <w:lang w:val="en-US" w:eastAsia="zh-CN"/>
        </w:rPr>
        <w:t>五</w:t>
      </w:r>
      <w:r>
        <w:rPr>
          <w:rFonts w:hint="eastAsia" w:ascii="黑体" w:hAnsi="黑体" w:eastAsia="黑体"/>
          <w:b w:val="0"/>
          <w:sz w:val="40"/>
        </w:rPr>
        <w:t>次会议第</w:t>
      </w:r>
      <w:r>
        <w:rPr>
          <w:rFonts w:hint="eastAsia" w:ascii="黑体" w:hAnsi="黑体" w:eastAsia="黑体"/>
          <w:b w:val="0"/>
          <w:sz w:val="40"/>
          <w:lang w:val="en-US" w:eastAsia="zh-CN"/>
        </w:rPr>
        <w:t>51</w:t>
      </w:r>
      <w:r>
        <w:rPr>
          <w:rFonts w:hint="eastAsia" w:ascii="黑体" w:hAnsi="黑体" w:eastAsia="黑体"/>
          <w:b w:val="0"/>
          <w:sz w:val="40"/>
        </w:rPr>
        <w:t>号</w:t>
      </w:r>
      <w:r>
        <w:rPr>
          <w:rFonts w:hint="eastAsia" w:ascii="黑体" w:hAnsi="黑体" w:eastAsia="黑体"/>
          <w:b w:val="0"/>
          <w:sz w:val="40"/>
          <w:lang w:val="en-US" w:eastAsia="zh-CN"/>
        </w:rPr>
        <w:t>议案</w:t>
      </w:r>
      <w:r>
        <w:rPr>
          <w:rFonts w:hint="eastAsia" w:ascii="黑体" w:hAnsi="黑体" w:eastAsia="黑体"/>
          <w:b w:val="0"/>
          <w:sz w:val="40"/>
        </w:rPr>
        <w:t>的</w:t>
      </w:r>
    </w:p>
    <w:p>
      <w:pPr>
        <w:pStyle w:val="7"/>
        <w:rPr>
          <w:rFonts w:ascii="黑体" w:hAnsi="黑体" w:eastAsia="黑体"/>
          <w:b w:val="0"/>
          <w:sz w:val="40"/>
        </w:rPr>
      </w:pPr>
      <w:r>
        <w:rPr>
          <w:rFonts w:hint="eastAsia" w:ascii="黑体" w:hAnsi="黑体" w:eastAsia="黑体"/>
          <w:b w:val="0"/>
          <w:sz w:val="40"/>
        </w:rPr>
        <w:t>协办意见</w:t>
      </w:r>
    </w:p>
    <w:p>
      <w:pPr>
        <w:pStyle w:val="7"/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</w:rPr>
        <w:t>局：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第十七届人大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次会议提出的第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号议案《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关于加快推进新能源汽车充电设施的建议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》已收悉，现提出如下协办意见：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我市4A级以上景区——鸣鹤古镇、达蓬山旅游度假区停车场拥有充电桩13个，能基本满足游客需求。3A景区停车场目前尚未拥有充电桩。根据《慈溪市全域旅游发展规划》和《慈溪市“十四五”旅游体育发展规划》，结合代表意见，我们将根据游客需求，未来5年内，争取3A级以上景区新建改建停车场全部有充电桩配置，并保证合理充电桩比例，满足越来越多的新能源汽车停车需要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（联系人：马乐平，联系电话：63803559）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慈溪市文化和广电旅游体育局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242E6"/>
    <w:rsid w:val="000824B2"/>
    <w:rsid w:val="002A3C45"/>
    <w:rsid w:val="003A5189"/>
    <w:rsid w:val="02F74CB9"/>
    <w:rsid w:val="055D5849"/>
    <w:rsid w:val="09F40B27"/>
    <w:rsid w:val="0B6934F4"/>
    <w:rsid w:val="0EDC7D94"/>
    <w:rsid w:val="158E02A1"/>
    <w:rsid w:val="250E4AD6"/>
    <w:rsid w:val="25AF6EDA"/>
    <w:rsid w:val="2A8E7804"/>
    <w:rsid w:val="2CD16616"/>
    <w:rsid w:val="3866070F"/>
    <w:rsid w:val="3BF10284"/>
    <w:rsid w:val="4A836BAD"/>
    <w:rsid w:val="6DD242E6"/>
    <w:rsid w:val="744129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842</Characters>
  <Lines>7</Lines>
  <Paragraphs>1</Paragraphs>
  <TotalTime>17</TotalTime>
  <ScaleCrop>false</ScaleCrop>
  <LinksUpToDate>false</LinksUpToDate>
  <CharactersWithSpaces>988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2020-06-28T00:56:00Z</dcterms:created>
  <dc:creator>Administrator</dc:creator>
  <cp:lastModifiedBy>Administrator</cp:lastModifiedBy>
  <dcterms:modified xsi:type="dcterms:W3CDTF">2021-05-10T00:55:37Z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