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                                       </w:t>
      </w:r>
      <w:r>
        <w:rPr>
          <w:rFonts w:hint="eastAsia" w:ascii="黑体" w:hAnsi="黑体" w:eastAsia="黑体"/>
          <w:color w:val="000000" w:themeColor="text1"/>
          <w:sz w:val="32"/>
          <w:szCs w:val="32"/>
        </w:rPr>
        <w:t>类别标记：</w:t>
      </w:r>
      <w:r>
        <w:rPr>
          <w:rFonts w:ascii="仿宋" w:hAnsi="仿宋" w:eastAsia="仿宋"/>
          <w:color w:val="000000" w:themeColor="text1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A</w:t>
      </w:r>
    </w:p>
    <w:p>
      <w:pPr>
        <w:spacing w:line="1000" w:lineRule="exact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spacing w:line="1000" w:lineRule="exact"/>
        <w:jc w:val="center"/>
        <w:rPr>
          <w:rFonts w:ascii="方正小标宋简体" w:hAnsi="华文中宋" w:eastAsia="方正小标宋简体"/>
          <w:color w:val="FF0000"/>
          <w:spacing w:val="80"/>
          <w:sz w:val="90"/>
          <w:szCs w:val="90"/>
        </w:rPr>
      </w:pPr>
      <w:r>
        <w:rPr>
          <w:rFonts w:hint="eastAsia" w:ascii="方正小标宋简体" w:hAnsi="华文中宋" w:eastAsia="方正小标宋简体"/>
          <w:color w:val="FF0000"/>
          <w:spacing w:val="80"/>
          <w:sz w:val="90"/>
          <w:szCs w:val="90"/>
        </w:rPr>
        <w:t>慈溪市卫生健康局</w:t>
      </w:r>
    </w:p>
    <w:p>
      <w:pPr>
        <w:spacing w:line="560" w:lineRule="exact"/>
        <w:rPr>
          <w:rFonts w:eastAsia="仿宋_GB2312"/>
          <w:spacing w:val="-8"/>
          <w:sz w:val="44"/>
          <w:szCs w:val="44"/>
        </w:rPr>
      </w:pPr>
    </w:p>
    <w:p>
      <w:pPr>
        <w:spacing w:line="560" w:lineRule="exact"/>
        <w:rPr>
          <w:rFonts w:eastAsia="仿宋_GB2312"/>
          <w:spacing w:val="-8"/>
          <w:sz w:val="44"/>
          <w:szCs w:val="44"/>
        </w:rPr>
      </w:pPr>
    </w:p>
    <w:p>
      <w:pPr>
        <w:spacing w:line="560" w:lineRule="exact"/>
        <w:rPr>
          <w:rFonts w:ascii="仿宋_GB2312" w:eastAsia="仿宋_GB2312"/>
          <w:spacing w:val="-8"/>
          <w:sz w:val="32"/>
          <w:szCs w:val="32"/>
        </w:rPr>
      </w:pPr>
      <w:r>
        <w:rPr>
          <w:rFonts w:hint="eastAsia" w:ascii="仿宋_GB2312" w:eastAsia="仿宋_GB2312"/>
          <w:spacing w:val="-8"/>
          <w:sz w:val="32"/>
          <w:szCs w:val="32"/>
        </w:rPr>
        <w:t xml:space="preserve"> 慈卫建〔202</w:t>
      </w:r>
      <w:r>
        <w:rPr>
          <w:rFonts w:hint="eastAsia" w:ascii="仿宋_GB2312" w:eastAsia="仿宋_GB2312"/>
          <w:spacing w:val="-8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pacing w:val="-8"/>
          <w:sz w:val="32"/>
          <w:szCs w:val="32"/>
        </w:rPr>
        <w:t>〕</w:t>
      </w:r>
      <w:r>
        <w:rPr>
          <w:rFonts w:hint="eastAsia" w:ascii="仿宋_GB2312" w:eastAsia="仿宋_GB2312"/>
          <w:spacing w:val="-8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pacing w:val="-8"/>
          <w:sz w:val="32"/>
          <w:szCs w:val="32"/>
        </w:rPr>
        <w:t>号                        签发人：史国建</w:t>
      </w:r>
    </w:p>
    <w:p>
      <w:pPr>
        <w:spacing w:line="560" w:lineRule="exact"/>
        <w:rPr>
          <w:rFonts w:eastAsia="华文中宋"/>
          <w:b/>
          <w:color w:val="FF0000"/>
          <w:spacing w:val="-8"/>
          <w:sz w:val="52"/>
          <w:szCs w:val="52"/>
          <w:u w:val="single"/>
        </w:rPr>
      </w:pPr>
      <w:r>
        <w:rPr>
          <w:rFonts w:eastAsia="华文中宋"/>
          <w:b/>
          <w:color w:val="FF0000"/>
          <w:spacing w:val="-8"/>
          <w:sz w:val="52"/>
          <w:szCs w:val="52"/>
          <w:u w:val="single"/>
        </w:rPr>
        <w:t xml:space="preserve">                                    </w:t>
      </w:r>
    </w:p>
    <w:p>
      <w:pPr>
        <w:spacing w:line="560" w:lineRule="exact"/>
        <w:jc w:val="center"/>
        <w:rPr>
          <w:rFonts w:eastAsia="华文中宋"/>
          <w:b/>
          <w:color w:val="FF0000"/>
          <w:spacing w:val="-8"/>
          <w:sz w:val="52"/>
          <w:szCs w:val="52"/>
        </w:rPr>
      </w:pPr>
    </w:p>
    <w:p>
      <w:pPr>
        <w:spacing w:line="560" w:lineRule="exact"/>
        <w:jc w:val="center"/>
        <w:rPr>
          <w:rFonts w:eastAsia="华文中宋"/>
          <w:b/>
          <w:color w:val="FF0000"/>
          <w:spacing w:val="-8"/>
          <w:sz w:val="52"/>
          <w:szCs w:val="5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对市十八届人大一次会议第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335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号建议的答复</w:t>
      </w:r>
    </w:p>
    <w:p>
      <w:pPr>
        <w:spacing w:line="520" w:lineRule="exact"/>
        <w:rPr>
          <w:rFonts w:ascii="仿宋" w:hAnsi="仿宋" w:eastAsia="仿宋"/>
          <w:sz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textAlignment w:val="auto"/>
        <w:rPr>
          <w:rFonts w:ascii="仿宋_GB2312" w:hAnsi="Tahoma" w:eastAsia="仿宋_GB2312" w:cs="仿宋_GB2312"/>
          <w:color w:val="000000"/>
          <w:sz w:val="32"/>
          <w:szCs w:val="32"/>
        </w:rPr>
      </w:pPr>
      <w:r>
        <w:rPr>
          <w:rFonts w:ascii="仿宋_GB2312" w:hAnsi="Tahoma" w:eastAsia="仿宋_GB2312" w:cs="仿宋_GB2312"/>
          <w:color w:val="000000"/>
          <w:sz w:val="32"/>
          <w:szCs w:val="32"/>
        </w:rPr>
        <w:t>李佳代表：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firstLine="640" w:firstLineChars="200"/>
        <w:textAlignment w:val="auto"/>
        <w:rPr>
          <w:rFonts w:hint="eastAsia" w:ascii="仿宋_GB2312" w:hAnsi="Tahoma" w:eastAsia="仿宋_GB2312" w:cs="仿宋_GB2312"/>
          <w:color w:val="000000"/>
          <w:sz w:val="32"/>
          <w:szCs w:val="32"/>
        </w:rPr>
      </w:pPr>
      <w:r>
        <w:rPr>
          <w:rFonts w:hint="eastAsia" w:ascii="仿宋_GB2312" w:hAnsi="Tahoma" w:eastAsia="仿宋_GB2312" w:cs="仿宋_GB2312"/>
          <w:color w:val="000000"/>
          <w:sz w:val="32"/>
          <w:szCs w:val="32"/>
        </w:rPr>
        <w:t>您提出的《关于加强基层医疗机构康复理疗科建设的建议》收悉，我局历来重视基层医疗机构康复体系的建设工作，主要开展了以下工作：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firstLine="640" w:firstLineChars="200"/>
        <w:textAlignment w:val="auto"/>
        <w:rPr>
          <w:rFonts w:hint="eastAsia" w:ascii="仿宋_GB2312" w:hAnsi="Tahoma" w:eastAsia="仿宋_GB2312" w:cs="仿宋_GB2312"/>
          <w:color w:val="000000"/>
          <w:sz w:val="32"/>
          <w:szCs w:val="32"/>
        </w:rPr>
      </w:pPr>
      <w:r>
        <w:rPr>
          <w:rFonts w:hint="eastAsia" w:ascii="仿宋_GB2312" w:hAnsi="Tahoma" w:eastAsia="仿宋_GB2312" w:cs="仿宋_GB2312"/>
          <w:color w:val="000000"/>
          <w:sz w:val="32"/>
          <w:szCs w:val="32"/>
        </w:rPr>
        <w:t>鼓励公立医疗机构发展康复医疗服务。全市开设老年康复护理床位机构24家，其中公立15家，非公立9家，其中老年康复护理床位数共1195张，以收治老年病、慢性病、肿瘤照护、康复患者为主。慈溪市二级以上综合医院开设老年康复医学科，全市5家二级以上综合医院已全部设置，设置率为100%，市人民医院、市三院、市六院和弘和医院开设老年医学科门诊，人民医院、市六院和弘和医院设立了老年医学科病区，共112张床位。选择市第三人民医院医疗健康集团天元分院作为安宁疗护试点单位，投入6万元建设资金改建3个病房和1个接待室，共5张病床，填补了我市基层医疗卫生机构开展安宁疗护服务空白的短板。加强基层医疗机构与辖区内养老机构签约服务，签约率达100%。提供定期巡诊、康复管理、基本公共卫生项目以及特色专科服务。借助家庭医生签约平台，由社区卫生服务站(村卫室)为居家养老人群提供基本公共卫生服务和基本医疗服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firstLine="640" w:firstLineChars="200"/>
        <w:textAlignment w:val="auto"/>
        <w:rPr>
          <w:rFonts w:hint="eastAsia" w:ascii="仿宋_GB2312" w:hAnsi="Tahoma" w:eastAsia="仿宋_GB2312" w:cs="仿宋_GB2312"/>
          <w:color w:val="000000"/>
          <w:sz w:val="32"/>
          <w:szCs w:val="32"/>
        </w:rPr>
      </w:pPr>
      <w:r>
        <w:rPr>
          <w:rFonts w:hint="eastAsia" w:ascii="仿宋_GB2312" w:hAnsi="Tahoma" w:eastAsia="仿宋_GB2312" w:cs="仿宋_GB2312"/>
          <w:color w:val="000000"/>
          <w:sz w:val="32"/>
          <w:szCs w:val="32"/>
        </w:rPr>
        <w:t>鼓励社会资本开展康复医疗服务。2014年，市委下发《关于进一步鼓励和引导社会资本举办医疗机构的若干意见（试行）》（慈党发〔2014〕75号），提出“优先支持社会资本举办二级及以上综合医院、中医医院和老年相关疾病及产科、儿科、护理、康复等二级甲等及以上专科医院”，并在医疗机构设置审批中，取消规划中距离、数量、地域限制，优先审批康复医院、老年病医院、护理院等医疗机构；目前慈溪市医养结合机构5家，慈溪市长</w:t>
      </w:r>
      <w:r>
        <w:rPr>
          <w:rFonts w:hint="eastAsia" w:ascii="仿宋_GB2312" w:hAnsi="Tahoma" w:eastAsia="仿宋_GB2312" w:cs="仿宋_GB2312"/>
          <w:color w:val="000000"/>
          <w:sz w:val="32"/>
          <w:szCs w:val="32"/>
          <w:lang w:eastAsia="zh-CN"/>
        </w:rPr>
        <w:t>河</w:t>
      </w:r>
      <w:bookmarkStart w:id="0" w:name="_GoBack"/>
      <w:bookmarkEnd w:id="0"/>
      <w:r>
        <w:rPr>
          <w:rFonts w:hint="eastAsia" w:ascii="仿宋_GB2312" w:hAnsi="Tahoma" w:eastAsia="仿宋_GB2312" w:cs="仿宋_GB2312"/>
          <w:color w:val="000000"/>
          <w:sz w:val="32"/>
          <w:szCs w:val="32"/>
        </w:rPr>
        <w:t>养老服务中心、慈溪明峰颐养院、慈溪市城区社会福利院、慈溪市新浦镇社会福利中心、慈溪市阳明养老服务中心，养老康复床位数共1209张。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firstLine="640" w:firstLineChars="200"/>
        <w:textAlignment w:val="auto"/>
        <w:rPr>
          <w:rFonts w:hint="eastAsia" w:ascii="仿宋_GB2312" w:hAnsi="Tahoma" w:eastAsia="仿宋_GB2312" w:cs="仿宋_GB2312"/>
          <w:color w:val="000000"/>
          <w:sz w:val="32"/>
          <w:szCs w:val="32"/>
        </w:rPr>
      </w:pPr>
      <w:r>
        <w:rPr>
          <w:rFonts w:hint="eastAsia" w:ascii="仿宋_GB2312" w:hAnsi="Tahoma" w:eastAsia="仿宋_GB2312" w:cs="仿宋_GB2312"/>
          <w:color w:val="000000"/>
          <w:sz w:val="32"/>
          <w:szCs w:val="32"/>
        </w:rPr>
        <w:t>完善人才队伍建设，开发养老康复信息平台。实施养老护理员培训计划，提高护理服务执证上岗率；探索护理职级（国家初级、中级、高级职称）工薪与社会平均工资挂钩等保障机制，切实提高护理人员待遇。截至目前，我市已有技师级养老护理员7人，高级养老护理员190余人，中级养老护理员2人，初级养老护理员26人，在全省范围内处于领先位置。加强老年康复相关的互联网+护理服务试点工作，通过宁波云医院护理平台开展互联网+护理服务，服务内容包括管路居家护理、肌肉注射、皮下注射、压疮护理、PICC护理、导尿管护理、造口护理等，至目前服务近千人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firstLine="640" w:firstLineChars="200"/>
        <w:textAlignment w:val="auto"/>
        <w:rPr>
          <w:rFonts w:hint="eastAsia" w:ascii="仿宋_GB2312" w:hAnsi="Tahoma" w:eastAsia="仿宋_GB2312" w:cs="仿宋_GB2312"/>
          <w:color w:val="000000"/>
          <w:sz w:val="32"/>
          <w:szCs w:val="32"/>
        </w:rPr>
      </w:pPr>
      <w:r>
        <w:rPr>
          <w:rFonts w:hint="eastAsia" w:ascii="仿宋_GB2312" w:hAnsi="Tahoma" w:eastAsia="仿宋_GB2312" w:cs="仿宋_GB2312"/>
          <w:color w:val="000000"/>
          <w:sz w:val="32"/>
          <w:szCs w:val="32"/>
        </w:rPr>
        <w:t>由市残联牵头，着力加强市、镇、村三级残疾人康复服务体系建设，在残疾预防、康复训练、医疗宣传等方面发挥重要作用，全方位提高残疾人社区康复质量。目前已建成市残疾人康复指导服务中心，设立康复病房，已委托市第七人民医院运营。面向全市开展肢体残疾人及有康复需求人群的康复训练和治疗，辅助器具展示、适配，康复技术指导、评估、培训等业务，为我市具有康复指导和服务为一体的综合性、专业性的康复机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firstLine="640" w:firstLineChars="200"/>
        <w:textAlignment w:val="auto"/>
        <w:rPr>
          <w:rFonts w:hint="eastAsia" w:ascii="仿宋_GB2312" w:hAnsi="Tahoma" w:eastAsia="仿宋_GB2312" w:cs="仿宋_GB2312"/>
          <w:color w:val="000000"/>
          <w:sz w:val="32"/>
          <w:szCs w:val="32"/>
        </w:rPr>
      </w:pPr>
      <w:r>
        <w:rPr>
          <w:rFonts w:hint="eastAsia" w:ascii="仿宋_GB2312" w:hAnsi="Tahoma" w:eastAsia="仿宋_GB2312" w:cs="仿宋_GB2312"/>
          <w:color w:val="000000"/>
          <w:sz w:val="32"/>
          <w:szCs w:val="32"/>
        </w:rPr>
        <w:t>下一步，我们将积极整合现有资源，推进各级康复医疗机构的发展，推进二级专业康复机构建设，并扶持和加强社区卫生服务中心康复场所和硬件建设，以满足各级各层康复群体的需要。加大康复设备、人员再教育、培训等相关投入，积极支持康复服务的发展。加快充实大量的专业化康复机构作为中坚力量，加强社区卫生服务中心的后续稳定性康复能力，形成完整的康复服务网络，建成持续高效的后疗通道。建立不同级别、不同类别康复医疗机构间的分级诊疗、双向转诊制度。形成有序就医的良好秩序。整合区域康复医疗资源，多部门共同协作，建立“综合医院—康复专科医院—社区卫生服务机构”三级康复医疗服务网，逐步实现“分层级医疗、分阶段康复”的目标。明确各级各类康复医疗机构三级康复医疗服务体系中的功能定位：三级综合医院的康复医学科是康复医疗服务体系的第一级，立足于疾病急性期的早期介入，并充分发挥区域辐射带动作用；康复专科医院和二级综合医院主要为疾病稳定期患者提供专业、综合的康复治疗；社区卫生服务机构作为康复医疗服务体系的基础，主要为疾病恢复期患者提供基本康复服务，条件允许的可以提供居家的康复、护理服务。利用社区卫生服务综合改革的契机，规范分层级诊疗、分阶段康复、双向转诊的医疗服务流程，使康复医疗的有序性落到实处。另外，要进一步加强康复医学能力建设，保证康复医疗服务的专业科学度。加快培养高素质康复从业人员，发挥传统中医康复优势，多渠道解决康复医护人员，现阶段，鼓励开展各种形式的康复医护人员上岗培训、加大继续教育力度。通过培养、引进、培训等多渠道扩大康复从业人员队伍，提升整体素质。此外，突破中医康复执业资质等方面的政策瓶颈。充分挖掘中医康复的巨大潜力，大力支持中医医师利用传统中医丰富的理念和手段从事康复服务，积极引导中医康复与临床康复医学之间的合作、支持，共同充实全市康复资源的覆盖面，提高康复服务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Chars="200"/>
        <w:textAlignment w:val="auto"/>
        <w:rPr>
          <w:rFonts w:hint="eastAsia" w:ascii="仿宋_GB2312" w:hAnsi="Tahoma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Chars="200"/>
        <w:textAlignment w:val="auto"/>
        <w:rPr>
          <w:rFonts w:hint="eastAsia" w:ascii="仿宋_GB2312" w:hAnsi="Tahoma" w:eastAsia="仿宋_GB2312" w:cs="仿宋_GB2312"/>
          <w:color w:val="000000"/>
          <w:sz w:val="32"/>
          <w:szCs w:val="32"/>
        </w:rPr>
      </w:pPr>
      <w:r>
        <w:rPr>
          <w:rFonts w:hint="eastAsia" w:ascii="仿宋_GB2312" w:hAnsi="Tahoma" w:eastAsia="仿宋_GB2312" w:cs="仿宋_GB2312"/>
          <w:color w:val="000000"/>
          <w:sz w:val="32"/>
          <w:szCs w:val="32"/>
        </w:rPr>
        <w:t>再次感谢您对我市卫生健康工作的关心和支持！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Chars="200"/>
        <w:textAlignment w:val="auto"/>
        <w:rPr>
          <w:rFonts w:hint="eastAsia" w:ascii="仿宋_GB2312" w:hAnsi="Tahoma" w:eastAsia="仿宋_GB2312" w:cs="仿宋_GB2312"/>
          <w:color w:val="000000"/>
          <w:sz w:val="32"/>
          <w:szCs w:val="32"/>
        </w:rPr>
      </w:pPr>
      <w:r>
        <w:rPr>
          <w:rFonts w:hint="eastAsia" w:ascii="仿宋_GB2312" w:hAnsi="Tahoma" w:eastAsia="仿宋_GB2312" w:cs="仿宋_GB2312"/>
          <w:color w:val="000000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Chars="200"/>
        <w:textAlignment w:val="auto"/>
        <w:rPr>
          <w:rFonts w:hint="eastAsia" w:ascii="仿宋_GB2312" w:hAnsi="Tahoma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Chars="200"/>
        <w:textAlignment w:val="auto"/>
        <w:rPr>
          <w:rFonts w:hint="eastAsia" w:ascii="仿宋_GB2312" w:hAnsi="Tahoma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4250" w:leftChars="2024" w:firstLine="0" w:firstLineChars="0"/>
        <w:textAlignment w:val="auto"/>
        <w:rPr>
          <w:rFonts w:hint="eastAsia" w:ascii="仿宋_GB2312" w:hAnsi="Tahoma" w:eastAsia="仿宋_GB2312" w:cs="仿宋_GB2312"/>
          <w:color w:val="000000"/>
          <w:sz w:val="32"/>
          <w:szCs w:val="32"/>
        </w:rPr>
      </w:pPr>
      <w:r>
        <w:rPr>
          <w:rFonts w:hint="eastAsia" w:ascii="仿宋_GB2312" w:hAnsi="Tahoma" w:eastAsia="仿宋_GB2312" w:cs="仿宋_GB2312"/>
          <w:color w:val="000000"/>
          <w:sz w:val="32"/>
          <w:szCs w:val="32"/>
        </w:rPr>
        <w:t>慈溪市卫生健康局</w:t>
      </w:r>
      <w:r>
        <w:rPr>
          <w:rFonts w:hint="eastAsia" w:ascii="仿宋_GB2312" w:hAnsi="Tahoma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Tahoma" w:eastAsia="仿宋_GB2312" w:cs="仿宋_GB2312"/>
          <w:color w:val="000000"/>
          <w:sz w:val="32"/>
          <w:szCs w:val="32"/>
        </w:rPr>
        <w:t>2022年</w:t>
      </w:r>
      <w:r>
        <w:rPr>
          <w:rFonts w:hint="eastAsia" w:ascii="仿宋_GB2312" w:hAnsi="Tahoma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Tahoma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Tahoma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Tahoma" w:eastAsia="仿宋_GB2312" w:cs="仿宋_GB2312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firstLine="640" w:firstLineChars="200"/>
        <w:textAlignment w:val="auto"/>
        <w:rPr>
          <w:rFonts w:hint="eastAsia" w:ascii="仿宋_GB2312" w:hAnsi="Tahoma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firstLine="640" w:firstLineChars="200"/>
        <w:textAlignment w:val="auto"/>
        <w:rPr>
          <w:rFonts w:hint="eastAsia" w:ascii="仿宋_GB2312" w:hAnsi="Tahoma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firstLine="640" w:firstLineChars="200"/>
        <w:textAlignment w:val="auto"/>
        <w:rPr>
          <w:rFonts w:hint="eastAsia" w:ascii="仿宋_GB2312" w:hAnsi="Tahoma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firstLine="640" w:firstLineChars="200"/>
        <w:textAlignment w:val="auto"/>
        <w:rPr>
          <w:rFonts w:hint="eastAsia" w:ascii="仿宋_GB2312" w:hAnsi="Tahoma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firstLine="640" w:firstLineChars="200"/>
        <w:textAlignment w:val="auto"/>
        <w:rPr>
          <w:rFonts w:hint="eastAsia" w:ascii="仿宋_GB2312" w:hAnsi="Tahoma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firstLine="640" w:firstLineChars="200"/>
        <w:textAlignment w:val="auto"/>
        <w:rPr>
          <w:rFonts w:hint="eastAsia" w:ascii="仿宋_GB2312" w:hAnsi="Tahoma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firstLine="640" w:firstLineChars="200"/>
        <w:textAlignment w:val="auto"/>
        <w:rPr>
          <w:rFonts w:hint="eastAsia" w:ascii="仿宋_GB2312" w:hAnsi="Tahoma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firstLine="640" w:firstLineChars="200"/>
        <w:textAlignment w:val="auto"/>
        <w:rPr>
          <w:rFonts w:hint="eastAsia" w:ascii="仿宋_GB2312" w:hAnsi="Tahoma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firstLine="640" w:firstLineChars="200"/>
        <w:textAlignment w:val="auto"/>
        <w:rPr>
          <w:rFonts w:hint="eastAsia" w:ascii="仿宋_GB2312" w:hAnsi="Tahoma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firstLine="640" w:firstLineChars="200"/>
        <w:textAlignment w:val="auto"/>
        <w:rPr>
          <w:rFonts w:hint="eastAsia" w:ascii="仿宋_GB2312" w:hAnsi="Tahoma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firstLine="640" w:firstLineChars="200"/>
        <w:textAlignment w:val="auto"/>
        <w:rPr>
          <w:rFonts w:hint="eastAsia" w:ascii="仿宋_GB2312" w:hAnsi="Tahoma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firstLine="640" w:firstLineChars="200"/>
        <w:textAlignment w:val="auto"/>
        <w:rPr>
          <w:rFonts w:hint="eastAsia" w:ascii="仿宋_GB2312" w:hAnsi="Tahoma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firstLine="640" w:firstLineChars="200"/>
        <w:textAlignment w:val="auto"/>
        <w:rPr>
          <w:rFonts w:hint="eastAsia" w:ascii="仿宋_GB2312" w:hAnsi="Tahoma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firstLine="640" w:firstLineChars="200"/>
        <w:textAlignment w:val="auto"/>
        <w:rPr>
          <w:rFonts w:hint="eastAsia" w:ascii="仿宋_GB2312" w:hAnsi="Tahoma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firstLine="640" w:firstLineChars="200"/>
        <w:textAlignment w:val="auto"/>
        <w:rPr>
          <w:rFonts w:hint="eastAsia" w:ascii="仿宋_GB2312" w:hAnsi="Tahoma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firstLine="640" w:firstLineChars="200"/>
        <w:textAlignment w:val="auto"/>
        <w:rPr>
          <w:rFonts w:hint="eastAsia" w:ascii="仿宋_GB2312" w:hAnsi="Tahoma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firstLine="640" w:firstLineChars="200"/>
        <w:textAlignment w:val="auto"/>
        <w:rPr>
          <w:rFonts w:hint="eastAsia" w:ascii="仿宋_GB2312" w:hAnsi="Tahoma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firstLine="640" w:firstLineChars="200"/>
        <w:textAlignment w:val="auto"/>
        <w:rPr>
          <w:rFonts w:hint="eastAsia" w:ascii="仿宋_GB2312" w:hAnsi="Tahoma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firstLine="640" w:firstLineChars="200"/>
        <w:textAlignment w:val="auto"/>
        <w:rPr>
          <w:rFonts w:hint="eastAsia" w:ascii="仿宋_GB2312" w:hAnsi="Tahoma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firstLine="640" w:firstLineChars="200"/>
        <w:textAlignment w:val="auto"/>
        <w:rPr>
          <w:rFonts w:hint="eastAsia" w:ascii="仿宋_GB2312" w:hAnsi="Tahoma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firstLine="640" w:firstLineChars="200"/>
        <w:textAlignment w:val="auto"/>
        <w:rPr>
          <w:rFonts w:hint="eastAsia" w:ascii="仿宋_GB2312" w:hAnsi="Tahoma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Tahoma" w:eastAsia="仿宋_GB2312" w:cs="仿宋_GB2312"/>
          <w:color w:val="000000"/>
          <w:sz w:val="32"/>
          <w:szCs w:val="32"/>
        </w:rPr>
        <w:t>抄　 送：市人大代表工委，市政府办公室，浒山街道人大</w:t>
      </w:r>
      <w:r>
        <w:rPr>
          <w:rFonts w:hint="eastAsia" w:ascii="仿宋_GB2312" w:hAnsi="Tahoma" w:eastAsia="仿宋_GB2312" w:cs="仿宋_GB2312"/>
          <w:color w:val="000000"/>
          <w:sz w:val="32"/>
          <w:szCs w:val="32"/>
          <w:lang w:eastAsia="zh-CN"/>
        </w:rPr>
        <w:t>工作委员会。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Tahoma" w:eastAsia="仿宋_GB2312" w:cs="仿宋_GB2312"/>
          <w:color w:val="000000"/>
          <w:sz w:val="32"/>
          <w:szCs w:val="32"/>
        </w:rPr>
        <w:t>联 系 人：陆益</w:t>
      </w:r>
      <w:r>
        <w:rPr>
          <w:rFonts w:hint="eastAsia" w:ascii="仿宋_GB2312" w:hAnsi="Tahoma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Tahoma" w:eastAsia="仿宋_GB2312" w:cs="仿宋_GB2312"/>
          <w:color w:val="000000"/>
          <w:sz w:val="32"/>
          <w:szCs w:val="32"/>
        </w:rPr>
        <w:t>　　联系电话：63829193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cs="Times New Roman"/>
        <w:sz w:val="28"/>
        <w:szCs w:val="28"/>
      </w:rPr>
    </w:pPr>
    <w:r>
      <w:rPr>
        <w:sz w:val="28"/>
      </w:rPr>
      <w:pict>
        <v:shape id="_x0000_s4097" o:spid="_x0000_s4097" o:spt="202" type="#_x0000_t202" style="position:absolute;left:0pt;margin-top:-0.75pt;height:17.85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3"/>
                  <w:rPr>
                    <w:rFonts w:hint="eastAsia" w:eastAsiaTheme="minorEastAsia"/>
                    <w:sz w:val="24"/>
                    <w:szCs w:val="24"/>
                    <w:lang w:eastAsia="zh-CN"/>
                  </w:rPr>
                </w:pP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t>1</w: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cs="Times New Roman"/>
        <w:sz w:val="28"/>
        <w:szCs w:val="28"/>
      </w:rPr>
    </w:pPr>
    <w:r>
      <w:rPr>
        <w:sz w:val="28"/>
      </w:rP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- 2 -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52A1C8"/>
    <w:multiLevelType w:val="singleLevel"/>
    <w:tmpl w:val="F652A1C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A57C4"/>
    <w:rsid w:val="0003073E"/>
    <w:rsid w:val="00036DD4"/>
    <w:rsid w:val="00051B78"/>
    <w:rsid w:val="00052E4C"/>
    <w:rsid w:val="00085244"/>
    <w:rsid w:val="000F049C"/>
    <w:rsid w:val="000F7910"/>
    <w:rsid w:val="0010380A"/>
    <w:rsid w:val="00105CEF"/>
    <w:rsid w:val="00114AC3"/>
    <w:rsid w:val="00130567"/>
    <w:rsid w:val="00130A65"/>
    <w:rsid w:val="00136999"/>
    <w:rsid w:val="0014000C"/>
    <w:rsid w:val="00140E91"/>
    <w:rsid w:val="001431BC"/>
    <w:rsid w:val="0015458A"/>
    <w:rsid w:val="00157368"/>
    <w:rsid w:val="00157CF1"/>
    <w:rsid w:val="00164654"/>
    <w:rsid w:val="001B2B54"/>
    <w:rsid w:val="001C1B87"/>
    <w:rsid w:val="001D5489"/>
    <w:rsid w:val="001E1307"/>
    <w:rsid w:val="001F42D1"/>
    <w:rsid w:val="00216BB8"/>
    <w:rsid w:val="002216D8"/>
    <w:rsid w:val="002607A1"/>
    <w:rsid w:val="002857D0"/>
    <w:rsid w:val="002971D5"/>
    <w:rsid w:val="002977FE"/>
    <w:rsid w:val="002B3DEA"/>
    <w:rsid w:val="002F5680"/>
    <w:rsid w:val="00307E39"/>
    <w:rsid w:val="003111A5"/>
    <w:rsid w:val="0031190A"/>
    <w:rsid w:val="00314B69"/>
    <w:rsid w:val="003208E4"/>
    <w:rsid w:val="00330F7F"/>
    <w:rsid w:val="00331452"/>
    <w:rsid w:val="003442A5"/>
    <w:rsid w:val="0035222B"/>
    <w:rsid w:val="00372E8B"/>
    <w:rsid w:val="00376C96"/>
    <w:rsid w:val="003856CB"/>
    <w:rsid w:val="003A2346"/>
    <w:rsid w:val="003A57C4"/>
    <w:rsid w:val="003A7B3D"/>
    <w:rsid w:val="003B6339"/>
    <w:rsid w:val="003D1651"/>
    <w:rsid w:val="00402ECB"/>
    <w:rsid w:val="0040510C"/>
    <w:rsid w:val="00421DAC"/>
    <w:rsid w:val="004225B5"/>
    <w:rsid w:val="0042674B"/>
    <w:rsid w:val="0044439C"/>
    <w:rsid w:val="00464043"/>
    <w:rsid w:val="00470C69"/>
    <w:rsid w:val="0048543A"/>
    <w:rsid w:val="00492A4A"/>
    <w:rsid w:val="004C0607"/>
    <w:rsid w:val="004E11B5"/>
    <w:rsid w:val="004E3E8D"/>
    <w:rsid w:val="004F2D8E"/>
    <w:rsid w:val="004F3A1F"/>
    <w:rsid w:val="00500A28"/>
    <w:rsid w:val="0053739A"/>
    <w:rsid w:val="00541F21"/>
    <w:rsid w:val="005501DE"/>
    <w:rsid w:val="005551DC"/>
    <w:rsid w:val="00575E58"/>
    <w:rsid w:val="005A0661"/>
    <w:rsid w:val="005A4091"/>
    <w:rsid w:val="005C6E0F"/>
    <w:rsid w:val="005E75D0"/>
    <w:rsid w:val="005F1980"/>
    <w:rsid w:val="005F6D8F"/>
    <w:rsid w:val="005F7E89"/>
    <w:rsid w:val="00601624"/>
    <w:rsid w:val="006153D7"/>
    <w:rsid w:val="00622F86"/>
    <w:rsid w:val="006233EA"/>
    <w:rsid w:val="00626FCB"/>
    <w:rsid w:val="006460E5"/>
    <w:rsid w:val="00647C45"/>
    <w:rsid w:val="00673DCB"/>
    <w:rsid w:val="00683CDC"/>
    <w:rsid w:val="006970F2"/>
    <w:rsid w:val="006B1859"/>
    <w:rsid w:val="006E5B77"/>
    <w:rsid w:val="00706BDB"/>
    <w:rsid w:val="00707575"/>
    <w:rsid w:val="0072178F"/>
    <w:rsid w:val="00773287"/>
    <w:rsid w:val="007B1CB7"/>
    <w:rsid w:val="007C03DC"/>
    <w:rsid w:val="007F31D9"/>
    <w:rsid w:val="0081154B"/>
    <w:rsid w:val="00815068"/>
    <w:rsid w:val="00822E27"/>
    <w:rsid w:val="00831820"/>
    <w:rsid w:val="0085087F"/>
    <w:rsid w:val="00865D7E"/>
    <w:rsid w:val="00874C50"/>
    <w:rsid w:val="00881B07"/>
    <w:rsid w:val="008913A2"/>
    <w:rsid w:val="00894994"/>
    <w:rsid w:val="008B5F7E"/>
    <w:rsid w:val="008B6868"/>
    <w:rsid w:val="008B7040"/>
    <w:rsid w:val="008C3EF7"/>
    <w:rsid w:val="008C5CE1"/>
    <w:rsid w:val="008D59BD"/>
    <w:rsid w:val="008F4561"/>
    <w:rsid w:val="009002DF"/>
    <w:rsid w:val="00902ED8"/>
    <w:rsid w:val="00905FE4"/>
    <w:rsid w:val="00906688"/>
    <w:rsid w:val="00906DCB"/>
    <w:rsid w:val="00926425"/>
    <w:rsid w:val="00926F92"/>
    <w:rsid w:val="00933173"/>
    <w:rsid w:val="00936A11"/>
    <w:rsid w:val="009372E3"/>
    <w:rsid w:val="00942152"/>
    <w:rsid w:val="00946E09"/>
    <w:rsid w:val="009578C0"/>
    <w:rsid w:val="00970DDD"/>
    <w:rsid w:val="009A2E3D"/>
    <w:rsid w:val="009B4920"/>
    <w:rsid w:val="009B5958"/>
    <w:rsid w:val="009C00AD"/>
    <w:rsid w:val="009D5DB0"/>
    <w:rsid w:val="009E1E32"/>
    <w:rsid w:val="009E59B8"/>
    <w:rsid w:val="009F5EC4"/>
    <w:rsid w:val="00A1592C"/>
    <w:rsid w:val="00A46D8E"/>
    <w:rsid w:val="00A46FCF"/>
    <w:rsid w:val="00A53453"/>
    <w:rsid w:val="00A7121C"/>
    <w:rsid w:val="00A95F47"/>
    <w:rsid w:val="00A96C2C"/>
    <w:rsid w:val="00AA2919"/>
    <w:rsid w:val="00AC762A"/>
    <w:rsid w:val="00AF614A"/>
    <w:rsid w:val="00B11ECE"/>
    <w:rsid w:val="00B1629B"/>
    <w:rsid w:val="00B20212"/>
    <w:rsid w:val="00B604CF"/>
    <w:rsid w:val="00B73DA9"/>
    <w:rsid w:val="00BA5803"/>
    <w:rsid w:val="00BA6DEA"/>
    <w:rsid w:val="00BC600C"/>
    <w:rsid w:val="00BE3617"/>
    <w:rsid w:val="00BE52AF"/>
    <w:rsid w:val="00BF6FCE"/>
    <w:rsid w:val="00BF71A0"/>
    <w:rsid w:val="00C20A8F"/>
    <w:rsid w:val="00C40646"/>
    <w:rsid w:val="00C41BC0"/>
    <w:rsid w:val="00C51BC1"/>
    <w:rsid w:val="00C6050C"/>
    <w:rsid w:val="00C76511"/>
    <w:rsid w:val="00C77CA0"/>
    <w:rsid w:val="00CA7626"/>
    <w:rsid w:val="00CA776B"/>
    <w:rsid w:val="00CB7C8A"/>
    <w:rsid w:val="00CB7E0B"/>
    <w:rsid w:val="00CD0C45"/>
    <w:rsid w:val="00CD0F6B"/>
    <w:rsid w:val="00CD1B5B"/>
    <w:rsid w:val="00CD2DA9"/>
    <w:rsid w:val="00CE1AC2"/>
    <w:rsid w:val="00CF4296"/>
    <w:rsid w:val="00CF5868"/>
    <w:rsid w:val="00CF7384"/>
    <w:rsid w:val="00D06F97"/>
    <w:rsid w:val="00D14D14"/>
    <w:rsid w:val="00D16514"/>
    <w:rsid w:val="00D40894"/>
    <w:rsid w:val="00D51F36"/>
    <w:rsid w:val="00D72683"/>
    <w:rsid w:val="00D76349"/>
    <w:rsid w:val="00D92A55"/>
    <w:rsid w:val="00DA167E"/>
    <w:rsid w:val="00DA7DA2"/>
    <w:rsid w:val="00DC3FAB"/>
    <w:rsid w:val="00DD0859"/>
    <w:rsid w:val="00DD59BB"/>
    <w:rsid w:val="00DE16CF"/>
    <w:rsid w:val="00E40290"/>
    <w:rsid w:val="00E505BB"/>
    <w:rsid w:val="00E529BB"/>
    <w:rsid w:val="00E60B66"/>
    <w:rsid w:val="00E65753"/>
    <w:rsid w:val="00E712C8"/>
    <w:rsid w:val="00E80B92"/>
    <w:rsid w:val="00E955BD"/>
    <w:rsid w:val="00EB5834"/>
    <w:rsid w:val="00ED0848"/>
    <w:rsid w:val="00EF0CC1"/>
    <w:rsid w:val="00EF4ECC"/>
    <w:rsid w:val="00EF5312"/>
    <w:rsid w:val="00F03104"/>
    <w:rsid w:val="00F140F8"/>
    <w:rsid w:val="00F2294E"/>
    <w:rsid w:val="00F332C7"/>
    <w:rsid w:val="00F64678"/>
    <w:rsid w:val="00F76DB2"/>
    <w:rsid w:val="00F77D50"/>
    <w:rsid w:val="00FA2E98"/>
    <w:rsid w:val="00FA6CCD"/>
    <w:rsid w:val="00FC5113"/>
    <w:rsid w:val="00FD7B35"/>
    <w:rsid w:val="00FF45D8"/>
    <w:rsid w:val="026414C3"/>
    <w:rsid w:val="039E4A45"/>
    <w:rsid w:val="060D53EA"/>
    <w:rsid w:val="0706147B"/>
    <w:rsid w:val="0DA372D9"/>
    <w:rsid w:val="0F0379D5"/>
    <w:rsid w:val="1DE20444"/>
    <w:rsid w:val="23C218BC"/>
    <w:rsid w:val="29F12904"/>
    <w:rsid w:val="2CBD7291"/>
    <w:rsid w:val="313039AA"/>
    <w:rsid w:val="31D423FB"/>
    <w:rsid w:val="36CE275B"/>
    <w:rsid w:val="3DA5257E"/>
    <w:rsid w:val="40FF5388"/>
    <w:rsid w:val="48227A9A"/>
    <w:rsid w:val="4AAF44D0"/>
    <w:rsid w:val="4D8D638D"/>
    <w:rsid w:val="4DF5511C"/>
    <w:rsid w:val="54F31B05"/>
    <w:rsid w:val="601560EB"/>
    <w:rsid w:val="641818BF"/>
    <w:rsid w:val="67716417"/>
    <w:rsid w:val="69FA0156"/>
    <w:rsid w:val="6C0A26CE"/>
    <w:rsid w:val="740D2AC0"/>
    <w:rsid w:val="74D90B65"/>
    <w:rsid w:val="762A7377"/>
    <w:rsid w:val="77B007A0"/>
    <w:rsid w:val="79F22191"/>
    <w:rsid w:val="7B4861D5"/>
    <w:rsid w:val="7B6F23E6"/>
    <w:rsid w:val="7BFB1E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rFonts w:hint="default" w:ascii="Tahoma" w:hAnsi="Tahoma" w:eastAsia="Tahoma" w:cs="Tahoma"/>
      <w:color w:val="003C93"/>
      <w:u w:val="none"/>
    </w:rPr>
  </w:style>
  <w:style w:type="character" w:styleId="8">
    <w:name w:val="Hyperlink"/>
    <w:basedOn w:val="6"/>
    <w:semiHidden/>
    <w:unhideWhenUsed/>
    <w:qFormat/>
    <w:uiPriority w:val="99"/>
    <w:rPr>
      <w:rFonts w:hint="eastAsia" w:ascii="Tahoma" w:hAnsi="Tahoma" w:eastAsia="Tahoma" w:cs="Tahoma"/>
      <w:color w:val="003C93"/>
      <w:u w:val="non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4098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EF0786-D202-4F74-A8F3-969555EB7C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312</Words>
  <Characters>1779</Characters>
  <Lines>14</Lines>
  <Paragraphs>4</Paragraphs>
  <TotalTime>10</TotalTime>
  <ScaleCrop>false</ScaleCrop>
  <LinksUpToDate>false</LinksUpToDate>
  <CharactersWithSpaces>2087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2019-04-25T03:31:00Z</dcterms:created>
  <dc:creator>User</dc:creator>
  <cp:lastModifiedBy>黑苹果</cp:lastModifiedBy>
  <cp:lastPrinted>2022-06-21T02:49:23Z</cp:lastPrinted>
  <dcterms:modified xsi:type="dcterms:W3CDTF">2022-06-21T02:49:26Z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