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righ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类别标记：A</w:t>
      </w:r>
    </w:p>
    <w:p>
      <w:pPr>
        <w:spacing w:line="560" w:lineRule="exact"/>
        <w:ind w:firstLine="210" w:firstLineChars="100"/>
        <w:rPr>
          <w:rFonts w:hint="eastAsia" w:ascii="仿宋_GB2312" w:eastAsia="仿宋_GB2312"/>
          <w:sz w:val="32"/>
          <w:szCs w:val="32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200025</wp:posOffset>
                </wp:positionV>
                <wp:extent cx="5715000" cy="1704975"/>
                <wp:effectExtent l="0" t="0" r="0" b="1905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704975"/>
                          <a:chOff x="3588" y="88285"/>
                          <a:chExt cx="9000" cy="2685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749" y="88285"/>
                            <a:ext cx="8814" cy="1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书宋简体" w:hAnsi="方正书宋简体" w:eastAsia="方正书宋简体" w:cs="方正书宋简体"/>
                                  <w:b/>
                                  <w:bCs/>
                                  <w:color w:val="FF0000"/>
                                  <w:sz w:val="84"/>
                                  <w:szCs w:val="8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</w:rPr>
                              </w:pPr>
                              <w:r>
                                <w:rPr>
                                  <w:rFonts w:hint="eastAsia" w:ascii="方正书宋简体" w:hAnsi="方正书宋简体" w:eastAsia="方正书宋简体" w:cs="方正书宋简体"/>
                                  <w:b/>
                                  <w:bCs/>
                                  <w:color w:val="FF0000"/>
                                  <w:sz w:val="84"/>
                                  <w:szCs w:val="8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</w:rPr>
                                <w:t>慈溪市科学技术局文件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3588" y="90970"/>
                            <a:ext cx="9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pt;margin-top:15.75pt;height:134.25pt;width:450pt;z-index:251660288;mso-width-relative:page;mso-height-relative:page;" coordorigin="3588,88285" coordsize="9000,2685" o:gfxdata="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UG6KldoAAAAKAQAADwAAAAAAAAABACAA&#10;AAAiAAAAZHJzL2Rvd25yZXYueG1sUEsBAhQAFAAAAAgAh07iQC/j7h1hAwAAggcAAA4AAAAAAAAA&#10;AQAgAAAAKQEAAGRycy9lMm9Eb2MueG1sUEsFBgAAAAAGAAYAWQEAAPwGAAAAAA==&#10;">
                <o:lock v:ext="edit" aspectratio="f"/>
                <v:shape id="_x0000_s1026" o:spid="_x0000_s1026" o:spt="202" type="#_x0000_t202" style="position:absolute;left:3749;top:88285;height:1551;width:8814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书宋简体" w:hAnsi="方正书宋简体" w:eastAsia="方正书宋简体" w:cs="方正书宋简体"/>
                            <w:b/>
                            <w:bCs/>
                            <w:color w:val="FF0000"/>
                            <w:sz w:val="84"/>
                            <w:szCs w:val="8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</w:rPr>
                        </w:pPr>
                        <w:r>
                          <w:rPr>
                            <w:rFonts w:hint="eastAsia" w:ascii="方正书宋简体" w:hAnsi="方正书宋简体" w:eastAsia="方正书宋简体" w:cs="方正书宋简体"/>
                            <w:b/>
                            <w:bCs/>
                            <w:color w:val="FF0000"/>
                            <w:sz w:val="84"/>
                            <w:szCs w:val="8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</w:rPr>
                          <w:t>慈溪市科学技术局文件</w:t>
                        </w:r>
                      </w:p>
                    </w:txbxContent>
                  </v:textbox>
                </v:shape>
                <v:line id="_x0000_s1026" o:spid="_x0000_s1026" o:spt="20" style="position:absolute;left:3588;top:90970;height:0;width:9000;" filled="f" stroked="t" coordsize="21600,21600" o:gfxdata="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r9aVLsAAADa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FF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慈科建〔2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021</w:t>
      </w:r>
      <w:r>
        <w:rPr>
          <w:rFonts w:hint="eastAsia" w:ascii="仿宋_GB2312" w:eastAsia="仿宋_GB2312"/>
          <w:sz w:val="32"/>
          <w:szCs w:val="32"/>
        </w:rPr>
        <w:t>〕1号                  签发人：胡志远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市十七届人大五次会议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294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黑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陈晓蓉代表：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您提出的《关于推进众创空间可持续发展的建议》（第294号建议）已收悉。首先，感谢您对我们科技工作的关心和支持！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高度重视该建议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办理工作，成立了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办理工作小组，经过精心拟定办理方案、组织专题调研、座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谈，并与相关部门反复研究、商榷后，现答复如下：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近年来，市委市政府坚持创新驱动工作导向，深入推进科技体制改革，加快各类科创平台建设，统筹用好优质科创资源，以超常规力度推进区域创新创业。2016年，我市制定出台《慈溪市培育发展众创空间促进大众创业创新的实施意见》（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</w:rPr>
        <w:t>慈政办发〔2016〕153号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，旨在通过有效整合资源、集成落实政策、健全服务体系等，支持鼓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励构建一批低成本、便利化、全要素、开放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式的众创空间，助推我市“二次创业”，努力实现“二次腾飞”。本轮机构改革众创空间建设职能划归到科技部门后，2020年科技部门会同财政部门专门出台了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《慈溪市众创空间认定与管理办法》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，进一步加强众创空间管理和服务工作。截至目前，我市已建成慈溪市级及以上众创空间共14家（其中宁波市级4家，慈溪市级10家），经营面积共8339767平方米（其中坎墩都市农业园8000400平方米，其余339367平方米），在孵创客（团队）及企业共758个（家），累计拨付财政资金590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虽然我市通过几年建设，在众创空间数量上达到了一定规模，但现有众创空间孵化成功率低、盈利能力弱、示范效应不明显等共性问题依然存在。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根据您的意见建议，我们将在现有工作基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础上，着重做好以下几方面工作：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一、积极构建服务平台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一是融合线上线下服务。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推进“浙里办”一站式政策服务平台推广应用，加快各部门政策信息整合，充分发挥“8718”公共服务平台、创新慈溪微信公众号等现有公共服务平台效用，做好政策宣传推广。通过“三个一”科创元素导入（一个科技特派员、一个检验监测代办点、一个科技中介服务点），采用现场驻点、线上线下对接等方式，为各众创空间提供政策辅导、知识产权管理、检验检测代办等各类科技中介服务，加快推进园区内企业成长。</w:t>
      </w: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二是完善投资融资服务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</w:rPr>
        <w:t>众创空间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  <w:lang w:eastAsia="zh-CN"/>
        </w:rPr>
        <w:t>认定、年度考核时，突出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</w:rPr>
        <w:t>种子资金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建设及运行管理情况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评估，指导不同建设主体根据实际设立创投模式。博洋智谷、海卫智巢等市场化运作程度较高的众创空间，可由运行单位自行设立种子资金，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既解决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孵化项目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融资难问题，又有效拓展众创空间创收方式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；上林英才（逍林）产业园、都市农业生态园等以地方政府为建设主体的众创空间，可通过政府资产公司进行投资入股；大学生创意产业“创梦空间”可依托宁大科院与我市龙头企业合作办校模式，将部分捐赠经费纳入大学生创业种子资金；其他的众创空间可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</w:rPr>
        <w:t>与天使投资人、创业投资机构的合作，完善投融资模式，吸引社会资本投资初创企业，努力实现众创空间与创业企业的共同成长。</w:t>
      </w: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三是优化公共技术服务。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围绕智能家电、关键基础件、汽车制造、生命健康、高端装备、新材料等“3+3+X”硬核产业体系，建立集“检验检测平台、共享实验室、产业研究院、产业创新服务综合体”的产业技术创新支撑体系，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通过科技创新券应用推广，鼓励企业与各高校科研院所开展技术合作，通过要素整合，进一步提升众创空间公共技术服务能力。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二、强化导师创业服务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建立创业导师队伍，是众创空间认定和考核评估的必要条件之一。目前，我市的众创空间共有专兼导师122名，其中人数最多的宁大科院大学生众创空间有62名。</w:t>
      </w: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一是要加强导师队伍建设。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各众创空间要根据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  <w:lang w:val="en-US" w:eastAsia="zh-CN" w:bidi="ar"/>
        </w:rPr>
        <w:t>孵化培育、产业集聚、服务延伸等类别，聘请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</w:rPr>
        <w:t>由天使投资人、成功企业家、资深管理者、技术专家、市场营销专家等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  <w:lang w:eastAsia="zh-CN"/>
        </w:rPr>
        <w:t>，完善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</w:rPr>
        <w:t>专兼职导师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  <w:lang w:eastAsia="zh-CN"/>
        </w:rPr>
        <w:t>制度，健全符合自身实际的导师队伍。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kern w:val="2"/>
          <w:sz w:val="32"/>
          <w:szCs w:val="32"/>
          <w:lang w:eastAsia="zh-CN"/>
        </w:rPr>
        <w:t>二是要完善创业辅导制度。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  <w:lang w:eastAsia="zh-CN"/>
        </w:rPr>
        <w:t>各众创空间要</w:t>
      </w:r>
      <w:r>
        <w:rPr>
          <w:rFonts w:hint="eastAsia" w:ascii="仿宋_GB2312" w:hAnsi="仿宋_GB2312" w:eastAsia="仿宋_GB2312" w:cs="仿宋_GB2312"/>
          <w:bCs/>
          <w:spacing w:val="0"/>
          <w:kern w:val="2"/>
          <w:sz w:val="32"/>
          <w:szCs w:val="32"/>
        </w:rPr>
        <w:t>制定清晰的导师工作流程</w:t>
      </w:r>
      <w:r>
        <w:rPr>
          <w:rFonts w:hint="eastAsia" w:ascii="仿宋_GB2312" w:hAnsi="仿宋_GB2312" w:eastAsia="仿宋_GB2312" w:cs="仿宋_GB2312"/>
          <w:bCs/>
          <w:spacing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"/>
          <w:sz w:val="32"/>
          <w:szCs w:val="32"/>
          <w:lang w:val="en-US" w:eastAsia="zh-CN" w:bidi="ar"/>
        </w:rPr>
        <w:t>入驻、入孵企业和创客的实际需求，选择有经验、有责任心的导师，不定期开展创业培训、创业辅导、创投对接等免费创业服务，增强初创企业和创客的创业创新能力，进一步发挥导师创业辅导作用。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kern w:val="2"/>
          <w:sz w:val="32"/>
          <w:szCs w:val="32"/>
          <w:lang w:val="en-US" w:eastAsia="zh-CN" w:bidi="ar"/>
        </w:rPr>
        <w:t>三是要</w:t>
      </w:r>
      <w:r>
        <w:rPr>
          <w:rFonts w:hint="eastAsia" w:ascii="仿宋_GB2312" w:hAnsi="仿宋_GB2312" w:eastAsia="仿宋_GB2312" w:cs="仿宋_GB2312"/>
          <w:b/>
          <w:bCs w:val="0"/>
          <w:spacing w:val="0"/>
          <w:kern w:val="2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b/>
          <w:bCs w:val="0"/>
          <w:spacing w:val="0"/>
          <w:kern w:val="2"/>
          <w:sz w:val="32"/>
          <w:szCs w:val="32"/>
          <w:lang w:eastAsia="zh-CN"/>
        </w:rPr>
        <w:t>双向互动</w:t>
      </w:r>
      <w:r>
        <w:rPr>
          <w:rFonts w:hint="eastAsia" w:ascii="仿宋_GB2312" w:hAnsi="仿宋_GB2312" w:eastAsia="仿宋_GB2312" w:cs="仿宋_GB2312"/>
          <w:b/>
          <w:bCs w:val="0"/>
          <w:spacing w:val="0"/>
          <w:kern w:val="2"/>
          <w:sz w:val="32"/>
          <w:szCs w:val="32"/>
        </w:rPr>
        <w:t>机制。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一方面，要充分利用宁大科院导师、创客资源，进一步辐射我市其他众创空间，发挥宁大科院大学生众创空间典型示范作用；依托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慈溪乡贤、慈溪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各产业技术研究院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、龙头企业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等优势资源，为我市各类众创空间提供持续创业支撑。另一方面，要</w:t>
      </w:r>
      <w:r>
        <w:rPr>
          <w:rFonts w:hint="eastAsia" w:ascii="仿宋_GB2312" w:hAnsi="仿宋_GB2312" w:eastAsia="仿宋_GB2312" w:cs="仿宋_GB2312"/>
          <w:bCs/>
          <w:spacing w:val="0"/>
          <w:kern w:val="2"/>
          <w:sz w:val="32"/>
          <w:szCs w:val="32"/>
          <w:lang w:eastAsia="zh-CN"/>
        </w:rPr>
        <w:t>通过培育孵化优秀项目，吸引更多的投资机构导师愿意辅导、敢于投资，形成众创空间择优聘用导师、创业导师择优选择众创空间的双向互动机制。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三、发挥政策激励导向作用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pacing w:val="0"/>
          <w:sz w:val="32"/>
          <w:szCs w:val="32"/>
          <w:lang w:eastAsia="zh-CN"/>
        </w:rPr>
        <w:t>一是积极探索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sz w:val="32"/>
          <w:szCs w:val="32"/>
        </w:rPr>
        <w:t>可持续发展模式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目前的众创空间盈利模式，主要还是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利用存量设施基础，通过开放共享降低成本，向创业者提供灵活、免费或低收费日常服务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14个众创空间保持收支平衡的有12个。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如博洋智谷等地理位置好、孵化空间大、配套设施全的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新型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众创空间，相对比更有优势。今后，要鼓励众创空间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通过高附加值专业服务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，或通过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获取长线回报，积极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探索</w:t>
      </w:r>
      <w:r>
        <w:rPr>
          <w:rFonts w:hint="eastAsia" w:ascii="仿宋_GB2312" w:hAnsi="仿宋_GB2312" w:eastAsia="仿宋_GB2312" w:cs="仿宋_GB2312"/>
          <w:b w:val="0"/>
          <w:color w:val="000000"/>
          <w:spacing w:val="0"/>
          <w:sz w:val="32"/>
          <w:szCs w:val="32"/>
        </w:rPr>
        <w:t>市场化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可持续发展运营模式。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sz w:val="32"/>
          <w:szCs w:val="32"/>
          <w:lang w:eastAsia="zh-CN"/>
        </w:rPr>
        <w:t>二是进一步修订完善政策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要根据人大代表、政协委员和各方面提出的建议、意见，研究制定《慈溪市众创空间及科技企业孵化器建设三年行动计划》，对新认定的各级众创空间继续实施奖励，加快众创空间扩面，力争今年实现省级众创空间破零。要优化年度考核管理，将奖励资金由原先的一次性拨付改为经考核合格后分年度拨付，引导众创空间加强日常管理，提升建设实效。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  <w:lang w:val="en-US" w:eastAsia="zh-CN"/>
        </w:rPr>
        <w:t>三是继续强化导向作用。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将孵化成功率作为年度考核重要指标之一，对孵化成果突出、示范效应好的众创空间可列为年度考核优秀并予以奖励。积极鼓励众创空间自建种子资金，对成长前景好的在孵企业进行股权投资，从而转化为持续性收益，逐步改变众创空间单纯的依靠租金和政府扶持存活的现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最后，再次感谢您对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我们科技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工作的关心和支持！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376"/>
          <w:tab w:val="center" w:pos="48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慈溪市科学技术局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年6月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市人大代表工委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sz w:val="32"/>
          <w:szCs w:val="32"/>
          <w:lang w:val="en-US" w:eastAsia="zh-CN"/>
        </w:rPr>
        <w:t>市政府办公室、市财政局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sz w:val="32"/>
          <w:szCs w:val="32"/>
          <w:lang w:val="en-US" w:eastAsia="zh-CN"/>
        </w:rPr>
        <w:t>人力社保局、横河镇人大主席团。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张波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_GB2312" w:hAnsi="华文中宋" w:eastAsia="仿宋_GB2312"/>
          <w:sz w:val="32"/>
          <w:szCs w:val="32"/>
        </w:rPr>
        <w:t>联系电话: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89297091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91163"/>
    <w:rsid w:val="73A61946"/>
    <w:rsid w:val="7B4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2021-07-01T07:05:09Z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