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0" w:beforeAutospacing="0" w:after="312" w:afterLines="100" w:afterAutospacing="0" w:line="700" w:lineRule="exact"/>
        <w:jc w:val="right"/>
        <w:rPr>
          <w:rFonts w:hint="eastAsia" w:ascii="黑体" w:hAnsi="黑体" w:eastAsia="黑体"/>
          <w:sz w:val="32"/>
          <w:szCs w:val="32"/>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-659765</wp:posOffset>
                </wp:positionH>
                <wp:positionV relativeFrom="paragraph">
                  <wp:posOffset>761365</wp:posOffset>
                </wp:positionV>
                <wp:extent cx="7000240" cy="870585"/>
                <wp:effectExtent l="0" t="0" r="10160" b="5715"/>
                <wp:wrapSquare wrapText="bothSides"/>
                <wp:docPr id="3" name="文本框 3"/>
                <wp:cNvGraphicFramePr/>
                <a:graphic xmlns:a="http://schemas.openxmlformats.org/drawingml/2006/main">
                  <a:graphicData uri="http://schemas.microsoft.com/office/word/2010/wordprocessingShape">
                    <wps:wsp>
                      <wps:cNvSpPr txBox="1"/>
                      <wps:spPr>
                        <a:xfrm>
                          <a:off x="0" y="0"/>
                          <a:ext cx="7000240" cy="870585"/>
                        </a:xfrm>
                        <a:prstGeom prst="rect">
                          <a:avLst/>
                        </a:prstGeom>
                        <a:solidFill>
                          <a:srgbClr val="FFFFFF"/>
                        </a:solidFill>
                        <a:ln>
                          <a:noFill/>
                        </a:ln>
                        <a:effectLst/>
                      </wps:spPr>
                      <wps:txbx>
                        <w:txbxContent>
                          <w:p>
                            <w:pPr>
                              <w:spacing w:line="1000" w:lineRule="exact"/>
                              <w:jc w:val="center"/>
                              <w:rPr>
                                <w:rFonts w:hint="eastAsia" w:ascii="仿宋_GB2312" w:eastAsia="仿宋_GB2312"/>
                                <w:sz w:val="28"/>
                                <w:szCs w:val="22"/>
                              </w:rPr>
                            </w:pPr>
                            <w:r>
                              <w:rPr>
                                <w:rFonts w:hint="eastAsia" w:ascii="方正小标宋简体" w:eastAsia="方正小标宋简体"/>
                                <w:color w:val="FF0000"/>
                                <w:spacing w:val="-20"/>
                                <w:sz w:val="72"/>
                                <w:szCs w:val="22"/>
                              </w:rPr>
                              <w:t>慈溪市文化和广电旅游体育局文件</w:t>
                            </w:r>
                          </w:p>
                        </w:txbxContent>
                      </wps:txbx>
                      <wps:bodyPr upright="1"/>
                    </wps:wsp>
                  </a:graphicData>
                </a:graphic>
              </wp:anchor>
            </w:drawing>
          </mc:Choice>
          <mc:Fallback>
            <w:pict>
              <v:shape id="_x0000_s1026" o:spid="_x0000_s1026" o:spt="202" type="#_x0000_t202" style="position:absolute;left:0pt;margin-left:-51.95pt;margin-top:59.95pt;height:68.55pt;width:551.2pt;mso-wrap-distance-bottom:0pt;mso-wrap-distance-left:9pt;mso-wrap-distance-right:9pt;mso-wrap-distance-top:0pt;z-index:251660288;mso-width-relative:page;mso-height-relative:page;" fillcolor="#FFFFFF" filled="t" stroked="f" coordsize="21600,21600" o:gfxdata="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wjRLrZAAAA&#10;DAEAAA8AAAAAAAAAAQAgAAAAIgAAAGRycy9kb3ducmV2LnhtbFBLAQIUABQAAAAIAIdO4kCb48EO&#10;qgEAADcDAAAOAAAAAAAAAAEAIAAAACgBAABkcnMvZTJvRG9jLnhtbFBLBQYAAAAABgAGAFkBAABE&#10;BQAAAAA=&#10;">
                <v:fill on="t" focussize="0,0"/>
                <v:stroke on="f"/>
                <v:imagedata o:title=""/>
                <o:lock v:ext="edit" aspectratio="f"/>
                <v:textbox>
                  <w:txbxContent>
                    <w:p>
                      <w:pPr>
                        <w:spacing w:line="1000" w:lineRule="exact"/>
                        <w:jc w:val="center"/>
                        <w:rPr>
                          <w:rFonts w:hint="eastAsia" w:ascii="仿宋_GB2312" w:eastAsia="仿宋_GB2312"/>
                          <w:sz w:val="28"/>
                          <w:szCs w:val="22"/>
                        </w:rPr>
                      </w:pPr>
                      <w:r>
                        <w:rPr>
                          <w:rFonts w:hint="eastAsia" w:ascii="方正小标宋简体" w:eastAsia="方正小标宋简体"/>
                          <w:color w:val="FF0000"/>
                          <w:spacing w:val="-20"/>
                          <w:sz w:val="72"/>
                          <w:szCs w:val="22"/>
                        </w:rPr>
                        <w:t>慈溪市文化和广电旅游体育局文件</w:t>
                      </w:r>
                    </w:p>
                  </w:txbxContent>
                </v:textbox>
                <w10:wrap type="square"/>
              </v:shape>
            </w:pict>
          </mc:Fallback>
        </mc:AlternateContent>
      </w:r>
      <w:r>
        <w:rPr>
          <w:rFonts w:hint="eastAsia" w:ascii="黑体" w:hAnsi="黑体" w:eastAsia="黑体"/>
          <w:sz w:val="32"/>
          <w:szCs w:val="32"/>
        </w:rPr>
        <w:t>类别标记：</w:t>
      </w:r>
      <w:r>
        <w:rPr>
          <w:rFonts w:hint="eastAsia" w:ascii="黑体" w:hAnsi="黑体" w:eastAsia="黑体"/>
          <w:sz w:val="32"/>
          <w:szCs w:val="32"/>
          <w:lang w:val="en-US" w:eastAsia="zh-CN"/>
        </w:rPr>
        <w:t>A</w:t>
      </w:r>
    </w:p>
    <w:p>
      <w:pPr>
        <w:spacing w:line="560" w:lineRule="exact"/>
        <w:rPr>
          <w:rFonts w:hint="eastAsia" w:ascii="仿宋_GB2312" w:hAnsi="宋体" w:eastAsia="仿宋_GB2312"/>
          <w:kern w:val="0"/>
          <w:sz w:val="32"/>
          <w:szCs w:val="32"/>
          <w:lang w:eastAsia="zh-CN"/>
        </w:rPr>
      </w:pPr>
      <w:r>
        <w:rPr>
          <w:rFonts w:hint="eastAsia" w:ascii="仿宋_GB2312" w:hAnsi="宋体" w:eastAsia="仿宋_GB2312"/>
          <w:kern w:val="0"/>
          <w:sz w:val="32"/>
          <w:szCs w:val="32"/>
        </w:rPr>
        <w:t>慈文广旅体建〔20</w:t>
      </w:r>
      <w:r>
        <w:rPr>
          <w:rFonts w:hint="eastAsia" w:ascii="仿宋_GB2312" w:eastAsia="仿宋_GB2312"/>
          <w:sz w:val="32"/>
          <w:lang w:val="en-US" w:eastAsia="zh-CN"/>
        </w:rPr>
        <w:t>23</w:t>
      </w: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3</w:t>
      </w:r>
      <w:r>
        <w:rPr>
          <w:rFonts w:hint="eastAsia" w:ascii="仿宋_GB2312" w:hAnsi="宋体" w:eastAsia="仿宋_GB2312"/>
          <w:kern w:val="0"/>
          <w:sz w:val="32"/>
          <w:szCs w:val="32"/>
        </w:rPr>
        <w:t xml:space="preserve">号       </w:t>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　签发人：</w:t>
      </w:r>
      <w:r>
        <w:rPr>
          <w:rFonts w:hint="eastAsia" w:ascii="仿宋_GB2312" w:eastAsia="仿宋_GB2312"/>
          <w:sz w:val="32"/>
          <w:lang w:eastAsia="zh-CN"/>
        </w:rPr>
        <w:t>邹霞芳</w:t>
      </w:r>
    </w:p>
    <w:p>
      <w:pPr>
        <w:pStyle w:val="12"/>
        <w:spacing w:before="0" w:beforeAutospacing="0" w:after="0" w:afterAutospacing="0" w:line="560" w:lineRule="exact"/>
        <w:rPr>
          <w:rFonts w:ascii="方正小标宋简体" w:eastAsia="方正小标宋简体"/>
          <w:spacing w:val="-20"/>
          <w:sz w:val="44"/>
          <w:szCs w:val="44"/>
        </w:rPr>
      </w:pPr>
      <w:r>
        <w:rPr>
          <w:rFonts w:hint="eastAsia" w:ascii="方正小标宋简体" w:eastAsia="方正小标宋简体"/>
          <w:spacing w:val="-20"/>
          <w:sz w:val="44"/>
          <w:szCs w:val="44"/>
        </w:rP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129540</wp:posOffset>
                </wp:positionV>
                <wp:extent cx="6771640" cy="8890"/>
                <wp:effectExtent l="0" t="0" r="0" b="0"/>
                <wp:wrapNone/>
                <wp:docPr id="2" name="直接连接符 2"/>
                <wp:cNvGraphicFramePr/>
                <a:graphic xmlns:a="http://schemas.openxmlformats.org/drawingml/2006/main">
                  <a:graphicData uri="http://schemas.microsoft.com/office/word/2010/wordprocessingShape">
                    <wps:wsp>
                      <wps:cNvCnPr/>
                      <wps:spPr>
                        <a:xfrm>
                          <a:off x="0" y="0"/>
                          <a:ext cx="6771640" cy="889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40.95pt;margin-top:10.2pt;height:0.7pt;width:533.2pt;z-index:251659264;mso-width-relative:page;mso-height-relative:page;" filled="f" stroked="t" coordsize="21600,21600" o:gfxdata="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3NnY72AAAAAkBAAAPAAAAAAAA&#10;AAEAIAAAACIAAABkcnMvZG93bnJldi54bWxQSwECFAAUAAAACACHTuJAaG6A4tkBAACOAwAADgAA&#10;AAAAAAABACAAAAAnAQAAZHJzL2Uyb0RvYy54bWxQSwUGAAAAAAYABgBZAQAAcgUAAAAA&#10;">
                <v:fill on="f" focussize="0,0"/>
                <v:stroke weight="2.25pt" color="#FF0000" joinstyle="round"/>
                <v:imagedata o:title=""/>
                <o:lock v:ext="edit" aspectratio="f"/>
              </v:line>
            </w:pict>
          </mc:Fallback>
        </mc:AlternateContent>
      </w:r>
      <w:r>
        <w:rPr>
          <w:rFonts w:hint="eastAsia" w:ascii="方正小标宋简体" w:eastAsia="方正小标宋简体"/>
          <w:spacing w:val="-20"/>
          <w:sz w:val="44"/>
          <w:szCs w:val="44"/>
        </w:rPr>
        <w:t xml:space="preserve">   </w:t>
      </w:r>
    </w:p>
    <w:p>
      <w:pPr>
        <w:pStyle w:val="12"/>
        <w:spacing w:before="0" w:beforeAutospacing="0" w:after="0" w:afterAutospacing="0" w:line="560" w:lineRule="exact"/>
        <w:jc w:val="center"/>
        <w:rPr>
          <w:rFonts w:hint="eastAsia" w:ascii="黑体" w:hAnsi="黑体" w:eastAsia="黑体" w:cs="黑体"/>
          <w:sz w:val="44"/>
          <w:szCs w:val="44"/>
        </w:rPr>
      </w:pPr>
    </w:p>
    <w:p>
      <w:pPr>
        <w:pStyle w:val="12"/>
        <w:spacing w:before="0" w:beforeAutospacing="0" w:after="0" w:afterAutospacing="0" w:line="560" w:lineRule="exact"/>
        <w:jc w:val="center"/>
        <w:rPr>
          <w:rFonts w:hint="eastAsia" w:ascii="黑体" w:hAnsi="黑体" w:eastAsia="黑体" w:cs="黑体"/>
          <w:sz w:val="44"/>
          <w:szCs w:val="44"/>
        </w:rPr>
      </w:pPr>
      <w:r>
        <w:rPr>
          <w:rFonts w:hint="eastAsia" w:ascii="黑体" w:hAnsi="黑体" w:eastAsia="黑体" w:cs="黑体"/>
          <w:sz w:val="44"/>
          <w:szCs w:val="44"/>
        </w:rPr>
        <w:t>对市</w:t>
      </w:r>
      <w:r>
        <w:rPr>
          <w:rFonts w:hint="eastAsia" w:ascii="黑体" w:hAnsi="黑体" w:eastAsia="黑体" w:cs="黑体"/>
          <w:sz w:val="44"/>
          <w:szCs w:val="44"/>
          <w:lang w:eastAsia="zh-CN"/>
        </w:rPr>
        <w:t>十八</w:t>
      </w:r>
      <w:r>
        <w:rPr>
          <w:rFonts w:hint="eastAsia" w:ascii="黑体" w:hAnsi="黑体" w:eastAsia="黑体" w:cs="黑体"/>
          <w:sz w:val="44"/>
          <w:szCs w:val="44"/>
        </w:rPr>
        <w:t>届人大</w:t>
      </w:r>
      <w:r>
        <w:rPr>
          <w:rFonts w:hint="eastAsia" w:ascii="黑体" w:hAnsi="黑体" w:eastAsia="黑体" w:cs="黑体"/>
          <w:sz w:val="44"/>
          <w:szCs w:val="44"/>
          <w:lang w:eastAsia="zh-CN"/>
        </w:rPr>
        <w:t>二</w:t>
      </w:r>
      <w:r>
        <w:rPr>
          <w:rFonts w:hint="eastAsia" w:ascii="黑体" w:hAnsi="黑体" w:eastAsia="黑体" w:cs="黑体"/>
          <w:sz w:val="44"/>
          <w:szCs w:val="44"/>
        </w:rPr>
        <w:t>次会议</w:t>
      </w:r>
    </w:p>
    <w:p>
      <w:pPr>
        <w:pStyle w:val="12"/>
        <w:spacing w:before="0" w:beforeAutospacing="0" w:after="0" w:afterAutospacing="0" w:line="560" w:lineRule="exact"/>
        <w:jc w:val="center"/>
        <w:rPr>
          <w:rFonts w:hint="eastAsia" w:ascii="仿宋_GB2312" w:hAnsi="仿宋_GB2312" w:eastAsia="仿宋_GB2312" w:cs="仿宋_GB2312"/>
          <w:sz w:val="32"/>
          <w:szCs w:val="32"/>
          <w:lang w:val="en-US" w:eastAsia="zh-CN"/>
        </w:rPr>
      </w:pPr>
      <w:r>
        <w:rPr>
          <w:rFonts w:hint="eastAsia" w:ascii="黑体" w:hAnsi="黑体" w:eastAsia="黑体" w:cs="黑体"/>
          <w:sz w:val="44"/>
          <w:szCs w:val="44"/>
        </w:rPr>
        <w:t>第</w:t>
      </w:r>
      <w:r>
        <w:rPr>
          <w:rFonts w:hint="eastAsia" w:ascii="黑体" w:hAnsi="黑体" w:eastAsia="黑体" w:cs="黑体"/>
          <w:sz w:val="44"/>
          <w:szCs w:val="44"/>
          <w:lang w:val="en-US" w:eastAsia="zh-CN"/>
        </w:rPr>
        <w:t>30</w:t>
      </w:r>
      <w:r>
        <w:rPr>
          <w:rFonts w:hint="eastAsia" w:ascii="黑体" w:hAnsi="黑体" w:eastAsia="黑体" w:cs="黑体"/>
          <w:sz w:val="44"/>
          <w:szCs w:val="44"/>
        </w:rPr>
        <w:t>号建议的答复</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沈志明代表：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感谢您对慈溪旅游工作的关心和支持。我局十分赞同您在《关于加快发展全域旅游的建议》中提到的观点。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随着人民生活水平提升和理念转变，本地游、近郊游、乡村游、露营游等新型旅游方式越来越受到市民青睐。在实施乡村振兴战略和全域旅游的背景下，我市乡村旅游和“百城千镇万村景区化”建设取得了有目共睹的成效，乡村旅游服务业发展势头喜人。截止去年年底，我市累计创建省级A级景区村庄220家，其中3A级景区村庄突破30家，村庄景区化总体覆盖率超80%，在宁波市名列前茅；以方家河头古村、傅家路村、倡隆村、岗墩村、五姓村等一批3A景区村为代表的景区村落，凭借自己特有的自然风光和人文底蕴，成为节假日市民和游客钟情的“打卡点”，乡村旅游蔚然成风。据宁波移动信令大数据平台监测，今年</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季度慈溪乡村旅游人数超283万，居全宁波第二。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代表</w:t>
      </w:r>
      <w:r>
        <w:rPr>
          <w:rFonts w:hint="eastAsia" w:ascii="仿宋_GB2312" w:hAnsi="仿宋_GB2312" w:eastAsia="仿宋_GB2312" w:cs="仿宋_GB2312"/>
          <w:sz w:val="32"/>
          <w:szCs w:val="32"/>
        </w:rPr>
        <w:t>建议和意见，下步我们将着力抓好以下几方面工作：</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突出规划引领，</w:t>
      </w:r>
      <w:r>
        <w:rPr>
          <w:rFonts w:hint="eastAsia" w:ascii="黑体" w:hAnsi="黑体" w:eastAsia="黑体" w:cs="黑体"/>
          <w:b w:val="0"/>
          <w:bCs w:val="0"/>
          <w:sz w:val="32"/>
          <w:szCs w:val="32"/>
          <w:lang w:eastAsia="zh-CN"/>
        </w:rPr>
        <w:t>促进</w:t>
      </w:r>
      <w:r>
        <w:rPr>
          <w:rFonts w:hint="eastAsia" w:ascii="黑体" w:hAnsi="黑体" w:eastAsia="黑体" w:cs="黑体"/>
          <w:b w:val="0"/>
          <w:bCs w:val="0"/>
          <w:sz w:val="32"/>
          <w:szCs w:val="32"/>
        </w:rPr>
        <w:t>文旅产业融合发展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前期我市已成立“慈溪市余慈地区统筹和翠屏山中央公园规划建设工作专班”，统筹开展余慈地区统筹和翠屏山中央公园规划建设。针对我市旅游可开发资源相对薄弱、高等级文旅资源占比较小等短板，去年年底今年年初，我局着手编制新一轮文旅产业资源空间布局规划。新规划将在《全域旅游发展规划》和《“十四五”旅游发展规划》的基础上，突出三个“重新”：一是重新审视慈溪在翠屏山中央公园建设大格局大背景下的战略地位，提出文旅资源发展的新定位和新目标</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二是重新运用新一轮文旅资源普查成果延展“徐福文化”“慈溪杨梅”“国药康养”“商贸文化”“红色文化”等多元文化，提炼发展特色和优势，结合新一轮国土空间规划和可利用资源，谋划“慈孝文化园”“青瓷主题公园”“杨梅主题公园”“沉浸式国药传奇游览园”等一批文化主题内涵鲜明、可落地性强、富有招引力的乡村旅游新项目</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三是重新布局“一核三片”的重点板块空间</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“一核”即南部翠屏瓷韵区，</w:t>
      </w:r>
      <w:r>
        <w:rPr>
          <w:rFonts w:hint="eastAsia" w:ascii="仿宋_GB2312" w:hAnsi="仿宋_GB2312" w:eastAsia="仿宋_GB2312" w:cs="仿宋_GB2312"/>
          <w:sz w:val="32"/>
          <w:szCs w:val="32"/>
          <w:lang w:eastAsia="zh-CN"/>
        </w:rPr>
        <w:t>三片为西部工旅智享片、北部滨海乐活片、中部都市悦享片，</w:t>
      </w:r>
      <w:r>
        <w:rPr>
          <w:rFonts w:hint="eastAsia" w:ascii="仿宋_GB2312" w:hAnsi="仿宋_GB2312" w:eastAsia="仿宋_GB2312" w:cs="仿宋_GB2312"/>
          <w:sz w:val="32"/>
          <w:szCs w:val="32"/>
        </w:rPr>
        <w:t>有效地指导我市未来一段时间内文旅产业融合发展。南部翠屏瓷韵区以翠屏山中央公园慈溪地域空间为四至范围，以鸣鹤上林湖风景名胜区为中心、以横河匡堰、掌起龙山两个资源优集区为两翼，建设东西两头进入门户，以山、水、瓷赋能旅游新势能，打造一条翠屏瓷韵大通</w:t>
      </w:r>
      <w:r>
        <w:rPr>
          <w:rFonts w:hint="eastAsia" w:ascii="仿宋_GB2312" w:hAnsi="仿宋_GB2312" w:eastAsia="仿宋_GB2312" w:cs="仿宋_GB2312"/>
          <w:sz w:val="32"/>
          <w:szCs w:val="32"/>
          <w:lang w:eastAsia="zh-CN"/>
        </w:rPr>
        <w:t>。龙山区块重要性明显，全力部署</w:t>
      </w:r>
      <w:r>
        <w:rPr>
          <w:rFonts w:hint="eastAsia" w:ascii="仿宋_GB2312" w:hAnsi="仿宋_GB2312" w:eastAsia="仿宋_GB2312" w:cs="仿宋_GB2312"/>
          <w:sz w:val="32"/>
          <w:szCs w:val="32"/>
        </w:rPr>
        <w:t>近远期建设重点内容，</w:t>
      </w:r>
      <w:r>
        <w:rPr>
          <w:rFonts w:hint="eastAsia" w:ascii="仿宋_GB2312" w:hAnsi="仿宋_GB2312" w:eastAsia="仿宋_GB2312" w:cs="仿宋_GB2312"/>
          <w:sz w:val="32"/>
          <w:szCs w:val="32"/>
          <w:lang w:eastAsia="zh-CN"/>
        </w:rPr>
        <w:t>在现有</w:t>
      </w:r>
      <w:r>
        <w:rPr>
          <w:rFonts w:hint="eastAsia" w:ascii="仿宋_GB2312" w:hAnsi="仿宋_GB2312" w:eastAsia="仿宋_GB2312" w:cs="仿宋_GB2312"/>
          <w:sz w:val="32"/>
          <w:szCs w:val="32"/>
          <w:lang w:val="en-US" w:eastAsia="zh-CN"/>
        </w:rPr>
        <w:t>4Ａ级景区1个（达蓬山旅游度假区），3Ａ级景区3个（徐福红木馆、方家河头、虞氏旧宅）的基础上，</w:t>
      </w:r>
      <w:r>
        <w:rPr>
          <w:rFonts w:hint="eastAsia" w:ascii="仿宋_GB2312" w:hAnsi="仿宋_GB2312" w:eastAsia="仿宋_GB2312" w:cs="仿宋_GB2312"/>
          <w:sz w:val="32"/>
          <w:szCs w:val="32"/>
          <w:lang w:eastAsia="zh-CN"/>
        </w:rPr>
        <w:t>着力打造</w:t>
      </w:r>
      <w:r>
        <w:rPr>
          <w:rFonts w:hint="eastAsia" w:ascii="仿宋_GB2312" w:hAnsi="仿宋_GB2312" w:eastAsia="仿宋_GB2312" w:cs="仿宋_GB2312"/>
          <w:sz w:val="32"/>
          <w:szCs w:val="32"/>
        </w:rPr>
        <w:t>慈孝文化</w:t>
      </w:r>
      <w:r>
        <w:rPr>
          <w:rFonts w:hint="eastAsia" w:ascii="仿宋_GB2312" w:hAnsi="仿宋_GB2312" w:eastAsia="仿宋_GB2312" w:cs="仿宋_GB2312"/>
          <w:sz w:val="32"/>
          <w:szCs w:val="32"/>
          <w:lang w:eastAsia="zh-CN"/>
        </w:rPr>
        <w:t>和红色文化，引进高品质的住宿、露营基地等业态，</w:t>
      </w:r>
      <w:r>
        <w:rPr>
          <w:rFonts w:hint="eastAsia" w:ascii="仿宋_GB2312" w:hAnsi="仿宋_GB2312" w:eastAsia="仿宋_GB2312" w:cs="仿宋_GB2312"/>
          <w:sz w:val="32"/>
          <w:szCs w:val="32"/>
          <w:lang w:val="en-US" w:eastAsia="zh-CN"/>
        </w:rPr>
        <w:t>为下步国家级度假区的申报打好基础。</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加快政策扶持，</w:t>
      </w:r>
      <w:r>
        <w:rPr>
          <w:rFonts w:hint="eastAsia" w:ascii="黑体" w:hAnsi="黑体" w:eastAsia="黑体" w:cs="黑体"/>
          <w:b w:val="0"/>
          <w:bCs w:val="0"/>
          <w:sz w:val="32"/>
          <w:szCs w:val="32"/>
        </w:rPr>
        <w:t>打造文旅</w:t>
      </w:r>
      <w:r>
        <w:rPr>
          <w:rFonts w:hint="eastAsia" w:ascii="黑体" w:hAnsi="黑体" w:eastAsia="黑体" w:cs="黑体"/>
          <w:b w:val="0"/>
          <w:bCs w:val="0"/>
          <w:sz w:val="32"/>
          <w:szCs w:val="32"/>
          <w:lang w:val="en-US" w:eastAsia="zh-CN"/>
        </w:rPr>
        <w:t>高等级旅游产品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lang w:eastAsia="zh-CN"/>
        </w:rPr>
      </w:pPr>
      <w:r>
        <w:rPr>
          <w:rFonts w:hint="eastAsia" w:ascii="仿宋_GB2312" w:hAnsi="仿宋_GB2312" w:eastAsia="仿宋_GB2312" w:cs="仿宋_GB2312"/>
          <w:b w:val="0"/>
          <w:bCs w:val="0"/>
          <w:sz w:val="32"/>
          <w:szCs w:val="32"/>
          <w:lang w:val="en-US" w:eastAsia="zh-CN"/>
        </w:rPr>
        <w:t>为更好地扶持文旅产业，我局出台新一轮产业政策《关于推动全域旅游产业提质富民的若干政策》，在优秀旅游项目、配套产品项目建设、农旅共富、企业创强、旅游市场、旅游对口扶贫、人才建设七个方面开展产业扶助。鼓励涉旅项目开发，鼓励各镇、街道依托非物质文化遗产、特色工艺、休闲夜景、红色旅游、科技教育、田园景观等资源，引导市场主体，开发建设与旅游相关的“吃、住、行、游、购、娱”等要素类涉旅经营项目，</w:t>
      </w:r>
      <w:r>
        <w:rPr>
          <w:rFonts w:hint="eastAsia" w:ascii="仿宋_GB2312" w:hAnsi="仿宋_GB2312" w:eastAsia="仿宋_GB2312" w:cs="仿宋_GB2312"/>
          <w:color w:val="auto"/>
          <w:spacing w:val="0"/>
          <w:sz w:val="32"/>
          <w:szCs w:val="32"/>
          <w:shd w:val="clear" w:color="auto" w:fill="FFFFFF"/>
          <w:lang w:val="en-US" w:eastAsia="zh-CN" w:bidi="ar-SA"/>
        </w:rPr>
        <w:t>高质量推进慈溪市文化和旅游的深度融合发展</w:t>
      </w:r>
      <w:r>
        <w:rPr>
          <w:rFonts w:hint="eastAsia" w:ascii="仿宋_GB2312" w:hAnsi="仿宋_GB2312" w:eastAsia="仿宋_GB2312" w:cs="仿宋_GB2312"/>
          <w:color w:val="auto"/>
          <w:sz w:val="32"/>
          <w:szCs w:val="32"/>
          <w:shd w:val="clear" w:color="auto" w:fill="FFFFFF"/>
          <w:lang w:val="en-US" w:eastAsia="zh-CN" w:bidi="ar-SA"/>
        </w:rPr>
        <w:t>。</w:t>
      </w:r>
      <w:r>
        <w:rPr>
          <w:rFonts w:hint="eastAsia" w:ascii="仿宋_GB2312" w:hAnsi="仿宋_GB2312" w:eastAsia="仿宋_GB2312" w:cs="仿宋_GB2312"/>
          <w:sz w:val="32"/>
          <w:szCs w:val="32"/>
          <w:lang w:eastAsia="zh-CN"/>
        </w:rPr>
        <w:t>同时，为</w:t>
      </w:r>
      <w:r>
        <w:rPr>
          <w:rFonts w:hint="eastAsia" w:ascii="仿宋_GB2312" w:hAnsi="仿宋_GB2312" w:eastAsia="仿宋_GB2312" w:cs="仿宋_GB2312"/>
          <w:color w:val="auto"/>
          <w:sz w:val="32"/>
          <w:szCs w:val="32"/>
          <w:shd w:val="clear" w:color="auto" w:fill="FFFFFF"/>
          <w:lang w:val="en-US" w:eastAsia="zh-CN" w:bidi="ar-SA"/>
        </w:rPr>
        <w:t>高水平建设旅游景区，宁波市局推行5A标准特色旅游景区建设工作。根据一年两个新建一个提升计划，我局对全市优质旅游资源进行排摸，制定了三年建设计划，主要对</w:t>
      </w:r>
      <w:r>
        <w:rPr>
          <w:rFonts w:hint="eastAsia" w:ascii="仿宋_GB2312" w:hAnsi="仿宋_GB2312" w:eastAsia="仿宋_GB2312" w:cs="仿宋_GB2312"/>
          <w:b w:val="0"/>
          <w:bCs w:val="0"/>
          <w:sz w:val="32"/>
          <w:szCs w:val="32"/>
          <w:lang w:val="en-US" w:eastAsia="zh-CN"/>
        </w:rPr>
        <w:t>“一核三片”的重点板块</w:t>
      </w: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与地域文化元素融入特色旅游景区场景建设与景观风貌的打造。达蓬山景区作为景区建设标杆，努力</w:t>
      </w:r>
      <w:r>
        <w:rPr>
          <w:rFonts w:hint="eastAsia" w:ascii="仿宋_GB2312" w:hAnsi="仿宋_GB2312" w:eastAsia="仿宋_GB2312" w:cs="仿宋_GB2312"/>
          <w:i w:val="0"/>
          <w:iCs w:val="0"/>
          <w:caps w:val="0"/>
          <w:color w:val="auto"/>
          <w:spacing w:val="0"/>
          <w:sz w:val="32"/>
          <w:szCs w:val="32"/>
          <w:shd w:val="clear" w:color="auto" w:fill="auto"/>
          <w:vertAlign w:val="baseline"/>
          <w:lang w:val="en-US" w:eastAsia="zh-CN" w:bidi="ar-SA"/>
        </w:rPr>
        <w:t>塑造“IP”特色化景区</w:t>
      </w:r>
      <w:r>
        <w:rPr>
          <w:rFonts w:hint="eastAsia" w:ascii="仿宋_GB2312" w:hAnsi="仿宋_GB2312" w:eastAsia="仿宋_GB2312" w:cs="仿宋_GB2312"/>
          <w:i w:val="0"/>
          <w:caps w:val="0"/>
          <w:color w:val="auto"/>
          <w:spacing w:val="0"/>
          <w:kern w:val="2"/>
          <w:sz w:val="32"/>
          <w:szCs w:val="32"/>
          <w:shd w:val="clear" w:color="auto" w:fill="FFFFFF"/>
          <w:lang w:val="en-US" w:eastAsia="zh-CN" w:bidi="ar-SA"/>
        </w:rPr>
        <w:t>，同时将特色旅游景区建设与“精特亮”工程、“微改精提”统筹谋划，2022年的“工商旅融合发展精品线”、山下村民国风情线等</w:t>
      </w:r>
      <w:r>
        <w:rPr>
          <w:rFonts w:hint="eastAsia" w:ascii="仿宋_GB2312" w:hAnsi="仿宋_GB2312" w:eastAsia="仿宋_GB2312" w:cs="仿宋_GB2312"/>
          <w:i w:val="0"/>
          <w:caps w:val="0"/>
          <w:color w:val="auto"/>
          <w:spacing w:val="0"/>
          <w:sz w:val="32"/>
          <w:szCs w:val="32"/>
          <w:shd w:val="clear" w:color="auto" w:fill="auto"/>
          <w:lang w:val="en" w:eastAsia="zh-CN"/>
        </w:rPr>
        <w:t>推动景区实</w:t>
      </w:r>
      <w:r>
        <w:rPr>
          <w:rFonts w:hint="eastAsia" w:ascii="仿宋_GB2312" w:hAnsi="仿宋_GB2312" w:eastAsia="仿宋_GB2312" w:cs="仿宋_GB2312"/>
          <w:color w:val="auto"/>
          <w:sz w:val="32"/>
          <w:szCs w:val="32"/>
          <w:lang w:val="en" w:eastAsia="zh-CN"/>
        </w:rPr>
        <w:t>现</w:t>
      </w:r>
      <w:r>
        <w:rPr>
          <w:rFonts w:hint="eastAsia" w:ascii="仿宋_GB2312" w:hAnsi="仿宋_GB2312" w:eastAsia="仿宋_GB2312" w:cs="仿宋_GB2312"/>
          <w:color w:val="auto"/>
          <w:sz w:val="32"/>
          <w:szCs w:val="32"/>
          <w:lang w:val="en-US" w:eastAsia="zh-CN"/>
        </w:rPr>
        <w:t>“观光休闲”向“沉浸体验”转变，增强游客旅游体验感和幸福感</w:t>
      </w:r>
      <w:r>
        <w:rPr>
          <w:rFonts w:hint="eastAsia" w:ascii="仿宋_GB2312" w:hAnsi="仿宋_GB2312" w:eastAsia="仿宋_GB2312" w:cs="仿宋_GB2312"/>
          <w:color w:val="auto"/>
          <w:spacing w:val="0"/>
          <w:sz w:val="32"/>
          <w:szCs w:val="32"/>
          <w:shd w:val="clear" w:color="auto" w:fill="FFFFFF"/>
          <w:lang w:val="en-US" w:eastAsia="zh-CN" w:bidi="ar-SA"/>
        </w:rPr>
        <w:t>，彰显城市环境美、品质美、人文美。</w:t>
      </w:r>
      <w:r>
        <w:rPr>
          <w:rFonts w:hint="eastAsia" w:ascii="仿宋_GB2312" w:hAnsi="仿宋_GB2312" w:eastAsia="仿宋_GB2312" w:cs="仿宋_GB2312"/>
          <w:sz w:val="32"/>
          <w:szCs w:val="32"/>
          <w:lang w:eastAsia="zh-CN"/>
        </w:rPr>
        <w:t>龙山旅游资源丰富，下一步，整合龙山旅游资源拟创建高等级文旅品牌——山水度假文旅组团。结合古韵秘色瓷文旅线、灵美达蓬·伏龙毓秀文旅线，将景区串联，进一步提升横筋线骑行空间，推进伏龙山生态停车场建设项目、长邱线延伸段旅游观光公路等一系列基础设施提升，推进达蓬山户外露营基地、伏龙湖旅游资源开发、慈孝文化主题民宿村等旅游产品的拓展，有目的地带动周边区域发展，实现地域特色、业态融合的高质量景区打造。　</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引进人才和团队，提升服务品质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新一轮产业政策，鼓励重点旅游镇（村）探索建立集体经济形式的乡村旅游开发运营公司，聘用专业团队和职业经理人，做大做强市场导向的整体运营。搭建乡村旅游运营团队考察、“联姻”等互动平台，鼓励各地采取委托或合资入股方式引入专业化运营团队，通过量化考评的形式，推动乡村旅游整体规划、招商引资、开发建设、产品包装和宣传推广，探索新型镇（村）、企业联合治理模式。</w:t>
      </w:r>
      <w:r>
        <w:rPr>
          <w:rFonts w:hint="eastAsia" w:ascii="仿宋_GB2312" w:hAnsi="仿宋_GB2312" w:eastAsia="仿宋_GB2312" w:cs="仿宋_GB2312"/>
          <w:sz w:val="32"/>
          <w:szCs w:val="32"/>
          <w:lang w:eastAsia="zh-CN"/>
        </w:rPr>
        <w:t>二是做好宣传推广。</w:t>
      </w:r>
      <w:r>
        <w:rPr>
          <w:rFonts w:hint="eastAsia" w:ascii="仿宋_GB2312" w:hAnsi="仿宋_GB2312" w:eastAsia="仿宋_GB2312" w:cs="仿宋_GB2312"/>
          <w:sz w:val="32"/>
          <w:szCs w:val="32"/>
        </w:rPr>
        <w:t>实施农文旅宣传提升计划，重新拍摄宣传片，优化文旅慈溪Logo设计与推广应用，建立短视频新媒体营销网络，创新“网红打卡”等“短平快”营销载体。</w:t>
      </w:r>
      <w:r>
        <w:rPr>
          <w:rFonts w:hint="eastAsia" w:ascii="仿宋_GB2312" w:hAnsi="仿宋_GB2312" w:eastAsia="仿宋_GB2312" w:cs="仿宋_GB2312"/>
          <w:sz w:val="32"/>
          <w:szCs w:val="32"/>
          <w:lang w:eastAsia="zh-CN"/>
        </w:rPr>
        <w:t>下一步，我们也将积极向人才部门反应，就进一步开展本土乡村旅游人才培养、引进外地优秀旅游人才，提供更多的平台和资金支持。</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加速招商引资，推动景区可持续发展</w:t>
      </w:r>
    </w:p>
    <w:p>
      <w:pPr>
        <w:pStyle w:val="8"/>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以达蓬山徐福东渡、伏龙山等历史积淀为基点，对达蓬山旅游度假区开发综合环境、招商项目进行全面包装推介，梳理旅游资源项目，编印文化旅游产业招商引资手册等资料，充分利用浙洽会、宁波周、国内外高端展会、论坛，加强区域宣传推介。下一步，我们将继续加大与国内知名旅游投资运营商的对接，引入优秀资本和运营团队，适时推动更多相关文旅项目落地。</w:t>
      </w:r>
    </w:p>
    <w:p>
      <w:pPr>
        <w:pStyle w:val="8"/>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sz w:val="32"/>
          <w:szCs w:val="32"/>
          <w:lang w:eastAsia="zh-CN"/>
        </w:rPr>
        <w:t>关于规范餐</w:t>
      </w:r>
      <w:r>
        <w:rPr>
          <w:rFonts w:hint="eastAsia" w:ascii="仿宋_GB2312" w:hAnsi="仿宋_GB2312" w:eastAsia="仿宋_GB2312" w:cs="仿宋_GB2312"/>
          <w:sz w:val="32"/>
          <w:szCs w:val="32"/>
          <w:lang w:val="en-US" w:eastAsia="zh-CN"/>
        </w:rPr>
        <w:t>饮服务的建议，</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市场监督管理局认定对经营面积50平方米以上的新设餐饮服务单位实施现场核查，符合要求的给予食品经营许可。经营面积50平方米以下的小餐饮店或在县（市、区）人民政府和乡镇人民政府、街道办事处划定或者指定的场所、区域、地点和时间内经营的</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"http://news.foodmate.net/tag_1670.html" \o "食品摊贩相关食品资讯" \t "http://news.foodmate.net/2021/08/_blank"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食品摊贩</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，按照《浙江省食品</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"http://news.foodmate.net/tag_2062.html" \o "小作坊相关食品资讯" \t "http://news.foodmate.net/2021/08/_blank"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小作坊</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"http://news.foodmate.net/tag_4348.html" \o "小餐饮相关食品资讯" \t "http://news.foodmate.net/2021/08/_blank"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小餐饮</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店、小食杂店和</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"http://news.foodmate.net/tag_1670.html" \o "食品摊贩相关食品资讯" \t "http://news.foodmate.net/2021/08/_blank"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食品摊贩</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管理规定》，在备案登记后一个月内加强事中事后监管，对检查存在的问题依法查处，并责令限期改正。从许可准入上进行规范。持续推进“阳光厨房”建设，建立“红黑榜”曝光工作机制，行政执法和社会公众“双重监督”督促餐饮主体落实主体责任，守法守序经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最后，再次感谢您对我市文化旅游事业的关心和支持。</w:t>
      </w:r>
    </w:p>
    <w:p>
      <w:pPr>
        <w:ind w:firstLine="640" w:firstLineChars="200"/>
        <w:rPr>
          <w:rFonts w:hint="eastAsia" w:ascii="仿宋_GB2312" w:hAnsi="仿宋_GB2312" w:eastAsia="仿宋_GB2312" w:cs="仿宋_GB2312"/>
          <w:sz w:val="32"/>
          <w:szCs w:val="32"/>
          <w:lang w:val="en-US" w:eastAsia="zh-CN"/>
        </w:rPr>
      </w:pPr>
    </w:p>
    <w:p>
      <w:pPr>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慈溪市文化和广电旅游体育局                                      2023年5月20日</w:t>
      </w:r>
    </w:p>
    <w:p>
      <w:pPr>
        <w:pStyle w:val="10"/>
        <w:spacing w:line="580" w:lineRule="exact"/>
        <w:ind w:left="0" w:leftChars="0" w:firstLine="0" w:firstLineChars="0"/>
        <w:rPr>
          <w:rFonts w:hint="eastAsia" w:ascii="仿宋_GB2312" w:eastAsia="仿宋_GB2312"/>
        </w:rPr>
      </w:pPr>
    </w:p>
    <w:p>
      <w:pPr>
        <w:pStyle w:val="10"/>
        <w:spacing w:line="580" w:lineRule="exact"/>
        <w:ind w:left="0" w:leftChars="0" w:firstLine="0" w:firstLineChars="0"/>
        <w:rPr>
          <w:rFonts w:hint="eastAsia" w:ascii="仿宋_GB2312" w:eastAsia="仿宋_GB2312"/>
        </w:rPr>
      </w:pPr>
    </w:p>
    <w:p>
      <w:pPr>
        <w:pStyle w:val="10"/>
        <w:spacing w:line="580" w:lineRule="exact"/>
        <w:ind w:left="0" w:leftChars="0" w:firstLine="0" w:firstLineChars="0"/>
        <w:rPr>
          <w:rFonts w:hint="default" w:ascii="仿宋_GB2312" w:eastAsia="仿宋_GB2312"/>
          <w:lang w:val="en-US" w:eastAsia="zh-CN"/>
        </w:rPr>
      </w:pPr>
      <w:r>
        <w:rPr>
          <w:rFonts w:hint="eastAsia" w:ascii="仿宋_GB2312" w:eastAsia="仿宋_GB2312"/>
        </w:rPr>
        <w:t>抄</w:t>
      </w:r>
      <w:r>
        <w:rPr>
          <w:rFonts w:hint="eastAsia" w:ascii="仿宋_GB2312" w:eastAsia="仿宋_GB2312"/>
          <w:lang w:val="en-US" w:eastAsia="zh-CN"/>
        </w:rPr>
        <w:t xml:space="preserve">    </w:t>
      </w:r>
      <w:r>
        <w:rPr>
          <w:rFonts w:hint="eastAsia" w:ascii="仿宋_GB2312" w:eastAsia="仿宋_GB2312"/>
        </w:rPr>
        <w:t>送：市人大代表工委，市政府办公室</w:t>
      </w:r>
      <w:r>
        <w:rPr>
          <w:rFonts w:hint="eastAsia" w:ascii="仿宋_GB2312" w:eastAsia="仿宋_GB2312"/>
          <w:lang w:val="en-US" w:eastAsia="zh-CN"/>
        </w:rPr>
        <w:t>,市市场监管局，龙山镇人大主席团</w:t>
      </w:r>
      <w:bookmarkStart w:id="0" w:name="_GoBack"/>
      <w:bookmarkEnd w:id="0"/>
    </w:p>
    <w:p>
      <w:pPr>
        <w:jc w:val="left"/>
        <w:rPr>
          <w:rFonts w:ascii="仿宋" w:hAnsi="仿宋" w:eastAsia="仿宋" w:cs="仿宋_GB2312"/>
          <w:sz w:val="32"/>
          <w:szCs w:val="32"/>
        </w:rPr>
      </w:pPr>
      <w:r>
        <w:rPr>
          <w:rFonts w:hint="eastAsia" w:ascii="仿宋" w:hAnsi="仿宋" w:eastAsia="仿宋" w:cs="仿宋_GB2312"/>
          <w:sz w:val="32"/>
          <w:szCs w:val="32"/>
        </w:rPr>
        <w:t>联 系 人：</w:t>
      </w:r>
      <w:r>
        <w:rPr>
          <w:rFonts w:hint="eastAsia" w:ascii="仿宋_GB2312" w:hAnsi="仿宋_GB2312" w:eastAsia="仿宋_GB2312" w:cs="仿宋_GB2312"/>
          <w:sz w:val="32"/>
          <w:szCs w:val="32"/>
          <w:lang w:val="en-US" w:eastAsia="zh-CN"/>
        </w:rPr>
        <w:t>朱旭芳</w:t>
      </w:r>
    </w:p>
    <w:p>
      <w:pPr>
        <w:jc w:val="left"/>
      </w:pPr>
      <w:r>
        <w:rPr>
          <w:rFonts w:hint="eastAsia" w:ascii="仿宋" w:hAnsi="仿宋" w:eastAsia="仿宋" w:cs="仿宋_GB2312"/>
          <w:sz w:val="32"/>
          <w:szCs w:val="32"/>
        </w:rPr>
        <w:t>联系电话：</w:t>
      </w:r>
      <w:r>
        <w:rPr>
          <w:rFonts w:hint="eastAsia" w:ascii="仿宋_GB2312" w:hAnsi="仿宋_GB2312" w:eastAsia="仿宋_GB2312" w:cs="仿宋_GB2312"/>
          <w:sz w:val="32"/>
          <w:szCs w:val="32"/>
          <w:lang w:val="en-US" w:eastAsia="zh-CN"/>
        </w:rPr>
        <w:t>63939306</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宋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BDBF7"/>
    <w:multiLevelType w:val="singleLevel"/>
    <w:tmpl w:val="3D3BDBF7"/>
    <w:lvl w:ilvl="0" w:tentative="0">
      <w:start w:val="1"/>
      <w:numFmt w:val="chineseCounting"/>
      <w:suff w:val="nothing"/>
      <w:lvlText w:val="%1、"/>
      <w:lvlJc w:val="left"/>
      <w:pPr>
        <w:ind w:left="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F7EF8"/>
    <w:rsid w:val="203F7EF8"/>
    <w:rsid w:val="42EF6F6D"/>
    <w:rsid w:val="43C54249"/>
    <w:rsid w:val="4CE03BEA"/>
    <w:rsid w:val="52363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7">
    <w:name w:val="heading 3"/>
    <w:basedOn w:val="1"/>
    <w:next w:val="1"/>
    <w:qFormat/>
    <w:uiPriority w:val="0"/>
    <w:pPr>
      <w:keepNext/>
      <w:keepLines/>
      <w:spacing w:beforeLines="100" w:afterLines="50"/>
      <w:jc w:val="center"/>
      <w:outlineLvl w:val="2"/>
    </w:pPr>
    <w:rPr>
      <w:rFonts w:ascii="公文小标宋简" w:eastAsia="方正小标宋简体"/>
      <w:sz w:val="44"/>
    </w:rPr>
  </w:style>
  <w:style w:type="character" w:default="1" w:styleId="14">
    <w:name w:val="Default Paragraph Font"/>
    <w:semiHidden/>
    <w:uiPriority w:val="0"/>
  </w:style>
  <w:style w:type="table" w:default="1" w:styleId="13">
    <w:name w:val="Normal Table"/>
    <w:semiHidden/>
    <w:uiPriority w:val="0"/>
    <w:tblPr>
      <w:tblCellMar>
        <w:top w:w="0" w:type="dxa"/>
        <w:left w:w="108" w:type="dxa"/>
        <w:bottom w:w="0" w:type="dxa"/>
        <w:right w:w="108" w:type="dxa"/>
      </w:tblCellMar>
    </w:tblPr>
  </w:style>
  <w:style w:type="paragraph" w:styleId="2">
    <w:name w:val="Body Text First Indent 2"/>
    <w:basedOn w:val="3"/>
    <w:next w:val="6"/>
    <w:qFormat/>
    <w:uiPriority w:val="0"/>
    <w:pPr>
      <w:ind w:firstLine="420" w:firstLineChars="200"/>
    </w:pPr>
  </w:style>
  <w:style w:type="paragraph" w:styleId="3">
    <w:name w:val="Body Text First Indent"/>
    <w:basedOn w:val="4"/>
    <w:next w:val="2"/>
    <w:qFormat/>
    <w:uiPriority w:val="0"/>
    <w:pPr>
      <w:ind w:firstLine="420" w:firstLineChars="100"/>
    </w:pPr>
    <w:rPr>
      <w:rFonts w:ascii="Calibri" w:hAnsi="Calibri"/>
    </w:rPr>
  </w:style>
  <w:style w:type="paragraph" w:styleId="4">
    <w:name w:val="Body Text"/>
    <w:basedOn w:val="1"/>
    <w:next w:val="5"/>
    <w:qFormat/>
    <w:uiPriority w:val="0"/>
    <w:pPr>
      <w:spacing w:after="120"/>
    </w:pPr>
  </w:style>
  <w:style w:type="paragraph" w:styleId="5">
    <w:name w:val="Subtitle"/>
    <w:next w:val="1"/>
    <w:qFormat/>
    <w:uiPriority w:val="0"/>
    <w:pPr>
      <w:wordWrap w:val="0"/>
      <w:spacing w:after="60"/>
      <w:jc w:val="center"/>
    </w:pPr>
    <w:rPr>
      <w:rFonts w:ascii="Times New Roman" w:hAnsi="Times New Roman" w:eastAsia="宋体" w:cs="Times New Roman"/>
      <w:sz w:val="24"/>
      <w:lang w:val="en-US" w:eastAsia="zh-CN" w:bidi="ar-SA"/>
    </w:rPr>
  </w:style>
  <w:style w:type="paragraph" w:styleId="6">
    <w:name w:val="Normal Indent"/>
    <w:basedOn w:val="1"/>
    <w:qFormat/>
    <w:uiPriority w:val="0"/>
    <w:pPr>
      <w:widowControl w:val="0"/>
      <w:ind w:firstLine="630"/>
      <w:jc w:val="both"/>
    </w:pPr>
    <w:rPr>
      <w:rFonts w:ascii="Calibri" w:hAnsi="Calibri" w:eastAsia="宋体" w:cs="Calibri"/>
      <w:kern w:val="0"/>
      <w:sz w:val="21"/>
      <w:szCs w:val="21"/>
      <w:lang w:val="en-US" w:eastAsia="zh-CN" w:bidi="ar-SA"/>
    </w:rPr>
  </w:style>
  <w:style w:type="paragraph" w:styleId="8">
    <w:name w:val="table of authorities"/>
    <w:basedOn w:val="1"/>
    <w:next w:val="1"/>
    <w:qFormat/>
    <w:uiPriority w:val="99"/>
    <w:pPr>
      <w:ind w:left="420" w:leftChars="200"/>
    </w:pPr>
  </w:style>
  <w:style w:type="paragraph" w:styleId="9">
    <w:name w:val="Body Text Indent"/>
    <w:basedOn w:val="1"/>
    <w:qFormat/>
    <w:uiPriority w:val="0"/>
    <w:pPr>
      <w:ind w:left="420" w:leftChars="200"/>
    </w:pPr>
  </w:style>
  <w:style w:type="paragraph" w:styleId="10">
    <w:name w:val="Body Text Indent 2"/>
    <w:basedOn w:val="1"/>
    <w:qFormat/>
    <w:uiPriority w:val="0"/>
    <w:pPr>
      <w:ind w:firstLine="5600" w:firstLineChars="20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2023-05-31T01:45:00Z</dcterms:created>
  <dc:creator>云端雨</dc:creator>
  <cp:lastModifiedBy>wjw</cp:lastModifiedBy>
  <dcterms:modified xsi:type="dcterms:W3CDTF">2023-06-21T02:12:53Z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