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right"/>
        <w:rPr>
          <w:rFonts w:ascii="仿宋" w:hAnsi="仿宋" w:eastAsia="仿宋"/>
          <w:sz w:val="32"/>
          <w:szCs w:val="32"/>
        </w:rPr>
      </w:pPr>
      <w:r>
        <w:rPr>
          <w:rFonts w:hint="eastAsia" w:ascii="仿宋" w:hAnsi="仿宋" w:eastAsia="仿宋"/>
          <w:sz w:val="32"/>
          <w:szCs w:val="32"/>
        </w:rPr>
        <w:t>类别号标记：</w:t>
      </w:r>
      <w:r>
        <w:rPr>
          <w:rFonts w:ascii="仿宋" w:hAnsi="仿宋" w:eastAsia="仿宋"/>
          <w:bCs/>
          <w:sz w:val="32"/>
          <w:szCs w:val="32"/>
        </w:rPr>
        <w:t>B</w:t>
      </w:r>
    </w:p>
    <w:p>
      <w:pPr>
        <w:spacing w:line="640" w:lineRule="exact"/>
        <w:jc w:val="right"/>
        <w:rPr>
          <w:rFonts w:ascii="仿宋_GB2312" w:eastAsia="仿宋_GB2312"/>
          <w:sz w:val="32"/>
          <w:szCs w:val="32"/>
        </w:rPr>
      </w:pPr>
    </w:p>
    <w:p>
      <w:pPr>
        <w:spacing w:line="500" w:lineRule="exact"/>
        <w:jc w:val="right"/>
        <w:rPr>
          <w:rFonts w:ascii="仿宋_GB2312" w:eastAsia="仿宋_GB2312"/>
          <w:sz w:val="32"/>
          <w:szCs w:val="32"/>
        </w:rPr>
      </w:pPr>
    </w:p>
    <w:p>
      <w:pPr>
        <w:jc w:val="center"/>
        <w:rPr>
          <w:rFonts w:ascii="宋体"/>
          <w:b/>
          <w:color w:val="FF0000"/>
          <w:spacing w:val="-20"/>
          <w:sz w:val="72"/>
          <w:szCs w:val="72"/>
        </w:rPr>
      </w:pPr>
      <w:r>
        <w:rPr>
          <w:rFonts w:hint="eastAsia" w:ascii="宋体" w:hAnsi="宋体"/>
          <w:b/>
          <w:color w:val="FF0000"/>
          <w:spacing w:val="-23"/>
          <w:sz w:val="72"/>
          <w:szCs w:val="72"/>
        </w:rPr>
        <w:t>慈溪市住房和城乡建设局文件</w:t>
      </w:r>
    </w:p>
    <w:p>
      <w:pPr>
        <w:spacing w:line="500" w:lineRule="exact"/>
        <w:jc w:val="right"/>
        <w:rPr>
          <w:rFonts w:ascii="仿宋_GB2312" w:eastAsia="仿宋_GB2312"/>
          <w:sz w:val="32"/>
          <w:szCs w:val="32"/>
        </w:rPr>
      </w:pPr>
    </w:p>
    <w:p>
      <w:pPr>
        <w:spacing w:line="500" w:lineRule="exact"/>
        <w:jc w:val="right"/>
        <w:rPr>
          <w:rFonts w:ascii="仿宋_GB2312" w:eastAsia="仿宋_GB2312"/>
          <w:sz w:val="32"/>
          <w:szCs w:val="32"/>
        </w:rPr>
      </w:pPr>
    </w:p>
    <w:p>
      <w:pPr>
        <w:spacing w:line="500" w:lineRule="exact"/>
        <w:ind w:right="-2" w:rightChars="-1"/>
        <w:jc w:val="center"/>
        <w:rPr>
          <w:rFonts w:ascii="楷体_GB2312" w:eastAsia="楷体_GB2312"/>
          <w:sz w:val="32"/>
          <w:szCs w:val="32"/>
        </w:rPr>
      </w:pPr>
      <w:r>
        <w:rPr>
          <w:rFonts w:hint="eastAsia" w:ascii="仿宋" w:hAnsi="仿宋" w:eastAsia="仿宋"/>
          <w:sz w:val="32"/>
          <w:szCs w:val="32"/>
        </w:rPr>
        <w:t>慈住建建〔</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30</w:t>
      </w:r>
      <w:r>
        <w:rPr>
          <w:rFonts w:hint="eastAsia" w:ascii="仿宋" w:hAnsi="仿宋" w:eastAsia="仿宋"/>
          <w:sz w:val="32"/>
          <w:szCs w:val="32"/>
        </w:rPr>
        <w:t>号</w:t>
      </w:r>
      <w:r>
        <w:rPr>
          <w:rFonts w:ascii="仿宋" w:hAnsi="仿宋" w:eastAsia="仿宋"/>
          <w:sz w:val="32"/>
          <w:szCs w:val="32"/>
        </w:rPr>
        <w:t xml:space="preserve">                   </w:t>
      </w:r>
      <w:r>
        <w:rPr>
          <w:rFonts w:hint="eastAsia" w:ascii="仿宋" w:hAnsi="仿宋" w:eastAsia="仿宋"/>
          <w:sz w:val="32"/>
          <w:szCs w:val="32"/>
        </w:rPr>
        <w:t>签发人：</w:t>
      </w:r>
      <w:r>
        <w:rPr>
          <w:rFonts w:hint="eastAsia" w:ascii="楷体" w:hAnsi="楷体" w:eastAsia="楷体"/>
          <w:sz w:val="32"/>
          <w:szCs w:val="32"/>
        </w:rPr>
        <w:t>华利波</w:t>
      </w:r>
    </w:p>
    <w:p>
      <w:pPr>
        <w:spacing w:line="560" w:lineRule="exact"/>
        <w:jc w:val="center"/>
        <w:rPr>
          <w:rFonts w:ascii="宋体"/>
          <w:sz w:val="32"/>
          <w:szCs w:val="32"/>
        </w:rPr>
      </w:pPr>
      <w:r>
        <w:pict>
          <v:line id="_x0000_s1026" o:spid="_x0000_s1026" o:spt="20" style="position:absolute;left:0pt;margin-left:-7.9pt;margin-top:0pt;height:0pt;width:458.2pt;z-index:251658240;mso-width-relative:page;mso-height-relative:page;" stroked="t" coordsize="21600,21600">
            <v:path arrowok="t"/>
            <v:fill focussize="0,0"/>
            <v:stroke weight="1.5pt" color="#FF0000"/>
            <v:imagedata o:title=""/>
            <o:lock v:ext="edit"/>
          </v:line>
        </w:pic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市住房和城乡建设局关于对市十七届人大一次会议</w:t>
      </w:r>
      <w:r>
        <w:rPr>
          <w:rFonts w:hint="eastAsia" w:ascii="方正小标宋简体" w:hAnsi="方正小标宋简体" w:eastAsia="方正小标宋简体" w:cs="方正小标宋简体"/>
          <w:sz w:val="44"/>
          <w:szCs w:val="44"/>
          <w:lang w:eastAsia="zh-CN"/>
        </w:rPr>
        <w:t>第</w:t>
      </w:r>
      <w:r>
        <w:rPr>
          <w:rFonts w:ascii="方正小标宋简体" w:hAnsi="方正小标宋简体" w:eastAsia="方正小标宋简体" w:cs="方正小标宋简体"/>
          <w:sz w:val="44"/>
          <w:szCs w:val="44"/>
        </w:rPr>
        <w:t>266</w:t>
      </w:r>
      <w:r>
        <w:rPr>
          <w:rFonts w:hint="eastAsia" w:ascii="方正小标宋简体" w:hAnsi="方正小标宋简体" w:eastAsia="方正小标宋简体" w:cs="方正小标宋简体"/>
          <w:sz w:val="44"/>
          <w:szCs w:val="44"/>
        </w:rPr>
        <w:t>号建议</w:t>
      </w:r>
      <w:r>
        <w:rPr>
          <w:rFonts w:hint="eastAsia" w:ascii="方正小标宋简体" w:hAnsi="方正小标宋简体" w:eastAsia="方正小标宋简体" w:cs="方正小标宋简体"/>
          <w:sz w:val="44"/>
          <w:szCs w:val="44"/>
          <w:lang w:eastAsia="zh-CN"/>
        </w:rPr>
        <w:t>的答复</w:t>
      </w:r>
    </w:p>
    <w:p>
      <w:pPr>
        <w:spacing w:line="530" w:lineRule="exact"/>
        <w:rPr>
          <w:rFonts w:ascii="仿宋" w:hAnsi="仿宋" w:eastAsia="仿宋" w:cs="仿宋"/>
          <w:sz w:val="32"/>
          <w:szCs w:val="32"/>
        </w:rPr>
      </w:pPr>
    </w:p>
    <w:p>
      <w:pPr>
        <w:spacing w:line="530" w:lineRule="exact"/>
        <w:rPr>
          <w:rFonts w:ascii="仿宋" w:hAnsi="仿宋" w:eastAsia="仿宋" w:cs="仿宋"/>
          <w:sz w:val="32"/>
          <w:szCs w:val="32"/>
        </w:rPr>
      </w:pPr>
      <w:r>
        <w:rPr>
          <w:rFonts w:hint="eastAsia" w:ascii="仿宋" w:hAnsi="仿宋" w:eastAsia="仿宋" w:cs="仿宋"/>
          <w:sz w:val="32"/>
          <w:szCs w:val="32"/>
        </w:rPr>
        <w:t>宋华忠代表</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您在市十七届人大一次会议上提出的《关于统筹推进“空中管线”整治的建议》（第</w:t>
      </w:r>
      <w:r>
        <w:rPr>
          <w:rFonts w:ascii="仿宋" w:hAnsi="仿宋" w:eastAsia="仿宋" w:cs="仿宋"/>
          <w:sz w:val="32"/>
          <w:szCs w:val="32"/>
        </w:rPr>
        <w:t>266</w:t>
      </w:r>
      <w:r>
        <w:rPr>
          <w:rFonts w:hint="eastAsia" w:ascii="仿宋" w:hAnsi="仿宋" w:eastAsia="仿宋" w:cs="仿宋"/>
          <w:sz w:val="32"/>
          <w:szCs w:val="32"/>
        </w:rPr>
        <w:t>号</w:t>
      </w:r>
      <w:r>
        <w:rPr>
          <w:rFonts w:hint="eastAsia" w:ascii="仿宋" w:hAnsi="仿宋" w:eastAsia="仿宋" w:cs="仿宋"/>
          <w:sz w:val="32"/>
          <w:szCs w:val="32"/>
          <w:lang w:eastAsia="zh-CN"/>
        </w:rPr>
        <w:t>建议</w:t>
      </w:r>
      <w:bookmarkStart w:id="1" w:name="_GoBack"/>
      <w:bookmarkEnd w:id="1"/>
      <w:r>
        <w:rPr>
          <w:rFonts w:hint="eastAsia" w:ascii="仿宋" w:hAnsi="仿宋" w:eastAsia="仿宋" w:cs="仿宋"/>
          <w:sz w:val="32"/>
          <w:szCs w:val="32"/>
        </w:rPr>
        <w:t>）已经收悉，经认真研究，现将办理意见答复如下：</w:t>
      </w:r>
    </w:p>
    <w:p>
      <w:pPr>
        <w:pStyle w:val="8"/>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为认真贯彻落实全省和宁波市小城镇环境综合整治工作会议精神，着力补齐小城镇建设发展“短板”，加快实现“创新活力之城，美丽幸福慈溪”目标，根据浙江省、宁波市的要求，从</w:t>
      </w:r>
      <w:r>
        <w:rPr>
          <w:rFonts w:ascii="仿宋" w:hAnsi="仿宋" w:eastAsia="仿宋" w:cs="仿宋"/>
          <w:sz w:val="32"/>
          <w:szCs w:val="32"/>
        </w:rPr>
        <w:t>2016</w:t>
      </w:r>
      <w:r>
        <w:rPr>
          <w:rFonts w:hint="eastAsia" w:ascii="仿宋" w:hAnsi="仿宋" w:eastAsia="仿宋" w:cs="仿宋"/>
          <w:sz w:val="32"/>
          <w:szCs w:val="32"/>
        </w:rPr>
        <w:t>年下半年开始，我市以镇人民政府（包括独立于城区的街道办事处）驻地建成区为主要对象，兼顾驻地行政村（居委会）的行政区域范围和仍具备集镇功能的原乡镇政府驻地，全面实施以“一加强三整治”（即加强规划引领，整治环境卫生，整治城镇秩序，整治镇容镇貌）为主要内容的小城镇环境综合整治行动</w:t>
      </w:r>
      <w:bookmarkStart w:id="0" w:name="OLE_LINK4"/>
      <w:r>
        <w:rPr>
          <w:rFonts w:hint="eastAsia" w:ascii="仿宋" w:hAnsi="仿宋" w:eastAsia="仿宋" w:cs="仿宋"/>
          <w:sz w:val="32"/>
          <w:szCs w:val="32"/>
        </w:rPr>
        <w:t>，该整治行动共包括十八项工作内容，治理线乱拉是其中一项重要工作。同时，根据宁波统一部署，从</w:t>
      </w:r>
      <w:r>
        <w:rPr>
          <w:rFonts w:ascii="仿宋" w:hAnsi="仿宋" w:eastAsia="仿宋" w:cs="仿宋"/>
          <w:sz w:val="32"/>
          <w:szCs w:val="32"/>
        </w:rPr>
        <w:t>2016</w:t>
      </w:r>
      <w:r>
        <w:rPr>
          <w:rFonts w:hint="eastAsia" w:ascii="仿宋" w:hAnsi="仿宋" w:eastAsia="仿宋" w:cs="仿宋"/>
          <w:sz w:val="32"/>
          <w:szCs w:val="32"/>
        </w:rPr>
        <w:t>年</w:t>
      </w:r>
      <w:r>
        <w:rPr>
          <w:rFonts w:ascii="仿宋" w:hAnsi="仿宋" w:eastAsia="仿宋" w:cs="仿宋"/>
          <w:sz w:val="32"/>
          <w:szCs w:val="32"/>
        </w:rPr>
        <w:t>6</w:t>
      </w:r>
      <w:r>
        <w:rPr>
          <w:rFonts w:hint="eastAsia" w:ascii="仿宋" w:hAnsi="仿宋" w:eastAsia="仿宋" w:cs="仿宋"/>
          <w:sz w:val="32"/>
          <w:szCs w:val="32"/>
        </w:rPr>
        <w:t>月至</w:t>
      </w:r>
      <w:r>
        <w:rPr>
          <w:rFonts w:ascii="仿宋" w:hAnsi="仿宋" w:eastAsia="仿宋" w:cs="仿宋"/>
          <w:sz w:val="32"/>
          <w:szCs w:val="32"/>
        </w:rPr>
        <w:t>2020</w:t>
      </w:r>
      <w:r>
        <w:rPr>
          <w:rFonts w:hint="eastAsia" w:ascii="仿宋" w:hAnsi="仿宋" w:eastAsia="仿宋" w:cs="仿宋"/>
          <w:sz w:val="32"/>
          <w:szCs w:val="32"/>
        </w:rPr>
        <w:t>年底，我市已经开展农村“三居”工作，其中</w:t>
      </w:r>
      <w:r>
        <w:rPr>
          <w:rFonts w:ascii="仿宋" w:hAnsi="仿宋" w:eastAsia="仿宋" w:cs="仿宋"/>
          <w:sz w:val="32"/>
          <w:szCs w:val="32"/>
        </w:rPr>
        <w:t>2017</w:t>
      </w:r>
      <w:r>
        <w:rPr>
          <w:rFonts w:hint="eastAsia" w:ascii="仿宋" w:hAnsi="仿宋" w:eastAsia="仿宋" w:cs="仿宋"/>
          <w:sz w:val="32"/>
          <w:szCs w:val="32"/>
        </w:rPr>
        <w:t>年的工作重点为农村“三居”改旧试点村建设，目前我市已有</w:t>
      </w:r>
      <w:r>
        <w:rPr>
          <w:rFonts w:ascii="仿宋" w:hAnsi="仿宋" w:eastAsia="仿宋" w:cs="仿宋"/>
          <w:sz w:val="32"/>
          <w:szCs w:val="32"/>
        </w:rPr>
        <w:t>18</w:t>
      </w:r>
      <w:r>
        <w:rPr>
          <w:rFonts w:hint="eastAsia" w:ascii="仿宋" w:hAnsi="仿宋" w:eastAsia="仿宋" w:cs="仿宋"/>
          <w:sz w:val="32"/>
          <w:szCs w:val="32"/>
        </w:rPr>
        <w:t>个行政村列为农村“三居”改旧试点村，主要内容为：治乱、改旧、提质。“三居”工作内容基本和小城镇整治工作内容相同，是小城镇整治工作的深化和延续。</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为切实加强对小城镇环境综合整治行动的领导，我市已经成立了由市委、市政府主要领导担任双组长，市委副书记担任常务副组长，市政府相关分管副市长担任副组长的整治行动领导小组。为确保整治工作正常开展，成立了包括“线乱拉治理专项行动组”</w:t>
      </w:r>
      <w:r>
        <w:rPr>
          <w:rFonts w:hint="eastAsia" w:ascii="仿宋" w:hAnsi="仿宋" w:eastAsia="仿宋" w:cs="仿宋"/>
          <w:bCs/>
          <w:sz w:val="32"/>
          <w:szCs w:val="32"/>
        </w:rPr>
        <w:t>在内的六个市小城镇环境综合整治专项行动小组。“线乱拉治理专项行动组”的主要职责正是规范户外缆线架设，着力解决乱接乱牵、乱拉乱挂“空中蜘蛛网”现象</w:t>
      </w:r>
      <w:r>
        <w:rPr>
          <w:rFonts w:hint="eastAsia" w:ascii="仿宋" w:hAnsi="仿宋" w:eastAsia="仿宋" w:cs="仿宋"/>
          <w:sz w:val="32"/>
          <w:szCs w:val="32"/>
        </w:rPr>
        <w:t>。市文广局作为“线乱拉治理专项行动组”的牵头单位，负责组织实施“治理线乱拉”专项行动；市规划局、市经信局、市供电局、市广播电视台、市电信局、市移动公司、市联通公司、市“三改一拆”办等作为专项组成员单位，共同配合做好线乱拉治理工作。同时，实施整治的各镇按照同样的组织构架成立各镇小城镇环境综合整治领导小组，形成上下共抓的局面。</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在线乱拉治理上的主要举措包括了规划设计引领，技术、资金、政策等的要素保障，建立管理长效机制等几个方面。</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规划设计引领上主要措施是：一是做好规划前的调查工作。通过对</w:t>
      </w:r>
      <w:r>
        <w:rPr>
          <w:rFonts w:ascii="仿宋" w:hAnsi="仿宋" w:eastAsia="仿宋" w:cs="仿宋"/>
          <w:sz w:val="32"/>
          <w:szCs w:val="32"/>
        </w:rPr>
        <w:t>17</w:t>
      </w:r>
      <w:r>
        <w:rPr>
          <w:rFonts w:hint="eastAsia" w:ascii="仿宋" w:hAnsi="仿宋" w:eastAsia="仿宋" w:cs="仿宋"/>
          <w:sz w:val="32"/>
          <w:szCs w:val="32"/>
        </w:rPr>
        <w:t>个镇（街道、集镇）的“线乱拉”治理基本情况的调查摸底，初步掌握了全市各镇的整治任务总量。其中共有“上改下”整治道路</w:t>
      </w:r>
      <w:r>
        <w:rPr>
          <w:rFonts w:ascii="仿宋" w:hAnsi="仿宋" w:eastAsia="仿宋" w:cs="仿宋"/>
          <w:sz w:val="32"/>
          <w:szCs w:val="32"/>
        </w:rPr>
        <w:t>93</w:t>
      </w:r>
      <w:r>
        <w:rPr>
          <w:rFonts w:hint="eastAsia" w:ascii="仿宋" w:hAnsi="仿宋" w:eastAsia="仿宋" w:cs="仿宋"/>
          <w:sz w:val="32"/>
          <w:szCs w:val="32"/>
        </w:rPr>
        <w:t>条，长度</w:t>
      </w:r>
      <w:r>
        <w:rPr>
          <w:rFonts w:ascii="仿宋" w:hAnsi="仿宋" w:eastAsia="仿宋" w:cs="仿宋"/>
          <w:sz w:val="32"/>
          <w:szCs w:val="32"/>
        </w:rPr>
        <w:t>202.5</w:t>
      </w:r>
      <w:r>
        <w:rPr>
          <w:rFonts w:hint="eastAsia" w:ascii="仿宋" w:hAnsi="仿宋" w:eastAsia="仿宋" w:cs="仿宋"/>
          <w:sz w:val="32"/>
          <w:szCs w:val="32"/>
        </w:rPr>
        <w:t>公里；架空线杆路整治道路</w:t>
      </w:r>
      <w:r>
        <w:rPr>
          <w:rFonts w:ascii="仿宋" w:hAnsi="仿宋" w:eastAsia="仿宋" w:cs="仿宋"/>
          <w:sz w:val="32"/>
          <w:szCs w:val="32"/>
        </w:rPr>
        <w:t>59</w:t>
      </w:r>
      <w:r>
        <w:rPr>
          <w:rFonts w:hint="eastAsia" w:ascii="仿宋" w:hAnsi="仿宋" w:eastAsia="仿宋" w:cs="仿宋"/>
          <w:sz w:val="32"/>
          <w:szCs w:val="32"/>
        </w:rPr>
        <w:t>条，长度</w:t>
      </w:r>
      <w:r>
        <w:rPr>
          <w:rFonts w:ascii="仿宋" w:hAnsi="仿宋" w:eastAsia="仿宋" w:cs="仿宋"/>
          <w:sz w:val="32"/>
          <w:szCs w:val="32"/>
        </w:rPr>
        <w:t>86.27</w:t>
      </w:r>
      <w:r>
        <w:rPr>
          <w:rFonts w:hint="eastAsia" w:ascii="仿宋" w:hAnsi="仿宋" w:eastAsia="仿宋" w:cs="仿宋"/>
          <w:sz w:val="32"/>
          <w:szCs w:val="32"/>
        </w:rPr>
        <w:t>公里；入户线整治投资</w:t>
      </w:r>
      <w:r>
        <w:rPr>
          <w:rFonts w:ascii="仿宋" w:hAnsi="仿宋" w:eastAsia="仿宋" w:cs="仿宋"/>
          <w:sz w:val="32"/>
          <w:szCs w:val="32"/>
        </w:rPr>
        <w:t>2.9</w:t>
      </w:r>
      <w:r>
        <w:rPr>
          <w:rFonts w:hint="eastAsia" w:ascii="仿宋" w:hAnsi="仿宋" w:eastAsia="仿宋" w:cs="仿宋"/>
          <w:sz w:val="32"/>
          <w:szCs w:val="32"/>
        </w:rPr>
        <w:t>亿元。二是在编制小城镇整治规划基础上编制线乱拉治理专项规划或者实施方案。我市整治各镇（街道、集镇）已经按照省整治办关于线乱拉治理的精神要求编制了专项规划或者实施方案，并报省整治办备案；三是做好规划编制质量控制。在规划编制上主动邀请上海、杭州、宁波等地</w:t>
      </w:r>
      <w:r>
        <w:rPr>
          <w:rFonts w:ascii="仿宋" w:hAnsi="仿宋" w:eastAsia="仿宋" w:cs="仿宋"/>
          <w:sz w:val="32"/>
          <w:szCs w:val="32"/>
        </w:rPr>
        <w:t>20</w:t>
      </w:r>
      <w:r>
        <w:rPr>
          <w:rFonts w:hint="eastAsia" w:ascii="仿宋" w:hAnsi="仿宋" w:eastAsia="仿宋" w:cs="仿宋"/>
          <w:sz w:val="32"/>
          <w:szCs w:val="32"/>
        </w:rPr>
        <w:t>多家高水平规划设计单位来慈参与规划编制；在规划评审中力邀省内知名规划专家来慈进行“手把手”实地指导；在规划审批上，各镇的整治规划由市整治行动领导小组和市规划委员会进行双重把关。</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技术、资金、制度等的要素保障主要工作是：一是省、宁波市出台了线乱拉治理设计标准、考核验收达标办法和相关政策处理文件，为线乱拉治理提供了技术、政策要素保障；二是我市正在制定小城镇环境综合整治资金补助办法，同时宁波市整治办也出台了协调线乱拉治理中地方政府与各大运营单位的工作指导意见，为线乱拉治理提供了很好的资金保障；三是通过把小城镇环境综合整治工作纳入到我市</w:t>
      </w:r>
      <w:r>
        <w:rPr>
          <w:rFonts w:ascii="仿宋" w:hAnsi="仿宋" w:eastAsia="仿宋" w:cs="仿宋"/>
          <w:sz w:val="32"/>
          <w:szCs w:val="32"/>
        </w:rPr>
        <w:t>2017</w:t>
      </w:r>
      <w:r>
        <w:rPr>
          <w:rFonts w:hint="eastAsia" w:ascii="仿宋" w:hAnsi="仿宋" w:eastAsia="仿宋" w:cs="仿宋"/>
          <w:sz w:val="32"/>
          <w:szCs w:val="32"/>
        </w:rPr>
        <w:t>年镇（街道）党政主要负责人考核之中，以及“示范路”创建制度、小城镇环境综合整治督查制度等的制度建设，为线乱拉治理的各项工作的真正落实奠定了坚实的基础。</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在长效机制建立上，一是规划部门在新建、改建道路及管线改造项目方案审批中，已经要求建设单位严格按专项规划布设管线；二是经信局明确在今后的设施建设中以规划为依据，严格按照国家和宁波光纤入户标准，推进通信基础设施的共建共享，规范管道铺设，集约使用通信管道和相关设施，统一承建，运营商共享，进一步提高了通信基础设施建设效力和通信运营效率，避免新的乱拉线、乱树杆情况发生。</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小城镇整治行动是促进我市城乡一体化发展、小城镇转型升级的重要工作，在市委市政府高度重视下，在政协、人大等的关心支持下，在相关部门、镇（街道）的积极配合下，我们按照既定路线，实现小城镇整治各项目标，加快实现我市“创新活力之城，美丽幸福慈溪”的目标！</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最后，感谢你在百忙之中给我们提出宝贵的建议，希望您一如既往的关心和支持我们的工作，为建设美丽慈溪而共同努力。</w:t>
      </w:r>
    </w:p>
    <w:p>
      <w:pPr>
        <w:spacing w:line="530" w:lineRule="exact"/>
        <w:ind w:firstLine="640" w:firstLineChars="200"/>
        <w:rPr>
          <w:rFonts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spacing w:line="530" w:lineRule="exact"/>
        <w:ind w:firstLine="4000" w:firstLineChars="1250"/>
        <w:rPr>
          <w:rFonts w:ascii="仿宋" w:hAnsi="仿宋" w:eastAsia="仿宋" w:cs="仿宋"/>
          <w:sz w:val="32"/>
          <w:szCs w:val="32"/>
        </w:rPr>
      </w:pPr>
      <w:r>
        <w:rPr>
          <w:rFonts w:hint="eastAsia" w:ascii="仿宋" w:hAnsi="仿宋" w:eastAsia="仿宋" w:cs="仿宋"/>
          <w:sz w:val="32"/>
          <w:szCs w:val="32"/>
        </w:rPr>
        <w:t>慈溪市住房和城乡建设局</w:t>
      </w:r>
    </w:p>
    <w:p>
      <w:pPr>
        <w:spacing w:line="530" w:lineRule="exact"/>
        <w:ind w:firstLine="640" w:firstLineChars="200"/>
        <w:rPr>
          <w:rFonts w:ascii="仿宋" w:hAnsi="仿宋" w:eastAsia="仿宋" w:cs="仿宋"/>
          <w:sz w:val="32"/>
          <w:szCs w:val="32"/>
        </w:rPr>
      </w:pPr>
      <w:r>
        <w:rPr>
          <w:rFonts w:ascii="仿宋" w:hAnsi="仿宋" w:eastAsia="仿宋" w:cs="仿宋"/>
          <w:sz w:val="32"/>
          <w:szCs w:val="32"/>
        </w:rPr>
        <w:t xml:space="preserve">                        2017</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12</w:t>
      </w:r>
      <w:r>
        <w:rPr>
          <w:rFonts w:hint="eastAsia" w:ascii="仿宋" w:hAnsi="仿宋" w:eastAsia="仿宋" w:cs="仿宋"/>
          <w:sz w:val="32"/>
          <w:szCs w:val="32"/>
        </w:rPr>
        <w:t>日</w:t>
      </w:r>
    </w:p>
    <w:p>
      <w:pPr>
        <w:spacing w:line="530" w:lineRule="exact"/>
        <w:ind w:firstLine="640" w:firstLineChars="200"/>
        <w:rPr>
          <w:rFonts w:ascii="仿宋" w:hAnsi="仿宋" w:eastAsia="仿宋" w:cs="仿宋"/>
          <w:sz w:val="32"/>
          <w:szCs w:val="32"/>
        </w:rPr>
      </w:pPr>
    </w:p>
    <w:p>
      <w:pPr>
        <w:spacing w:line="530" w:lineRule="exact"/>
        <w:ind w:left="2238" w:leftChars="304" w:hanging="1600" w:hangingChars="500"/>
        <w:rPr>
          <w:rFonts w:ascii="仿宋" w:hAnsi="仿宋" w:eastAsia="仿宋" w:cs="仿宋"/>
          <w:sz w:val="32"/>
          <w:szCs w:val="32"/>
        </w:rPr>
      </w:pPr>
      <w:r>
        <w:rPr>
          <w:rFonts w:hint="eastAsia" w:ascii="仿宋" w:hAnsi="仿宋" w:eastAsia="仿宋" w:cs="仿宋"/>
          <w:sz w:val="32"/>
          <w:szCs w:val="32"/>
        </w:rPr>
        <w:t>抄　　送：市人大代表工委，市政府办公室，市财政局、市文广局、市经信局、市规划局、市供电局，中国电信慈溪分公司，周巷镇人大主席团。</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联</w:t>
      </w:r>
      <w:r>
        <w:rPr>
          <w:rFonts w:ascii="仿宋" w:hAnsi="仿宋" w:eastAsia="仿宋" w:cs="仿宋"/>
          <w:sz w:val="32"/>
          <w:szCs w:val="32"/>
        </w:rPr>
        <w:t xml:space="preserve"> </w:t>
      </w:r>
      <w:r>
        <w:rPr>
          <w:rFonts w:hint="eastAsia" w:ascii="仿宋" w:hAnsi="仿宋" w:eastAsia="仿宋" w:cs="仿宋"/>
          <w:sz w:val="32"/>
          <w:szCs w:val="32"/>
        </w:rPr>
        <w:t>系</w:t>
      </w:r>
      <w:r>
        <w:rPr>
          <w:rFonts w:ascii="仿宋" w:hAnsi="仿宋" w:eastAsia="仿宋" w:cs="仿宋"/>
          <w:sz w:val="32"/>
          <w:szCs w:val="32"/>
        </w:rPr>
        <w:t xml:space="preserve"> </w:t>
      </w:r>
      <w:r>
        <w:rPr>
          <w:rFonts w:hint="eastAsia" w:ascii="仿宋" w:hAnsi="仿宋" w:eastAsia="仿宋" w:cs="仿宋"/>
          <w:sz w:val="32"/>
          <w:szCs w:val="32"/>
        </w:rPr>
        <w:t>人：王律明</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rPr>
        <w:t>63951583</w:t>
      </w:r>
      <w:bookmarkEnd w:id="0"/>
    </w:p>
    <w:sectPr>
      <w:footerReference r:id="rId3" w:type="default"/>
      <w:footerReference r:id="rId4" w:type="even"/>
      <w:pgSz w:w="11906" w:h="16838"/>
      <w:pgMar w:top="2098" w:right="1531" w:bottom="1985" w:left="1531" w:header="102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0C7"/>
    <w:rsid w:val="003B1226"/>
    <w:rsid w:val="005C10C7"/>
    <w:rsid w:val="005E3657"/>
    <w:rsid w:val="006137A1"/>
    <w:rsid w:val="00853C54"/>
    <w:rsid w:val="00C943D3"/>
    <w:rsid w:val="00F500A9"/>
    <w:rsid w:val="0D4609D1"/>
    <w:rsid w:val="46424958"/>
    <w:rsid w:val="59636C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paragraph" w:customStyle="1" w:styleId="8">
    <w:name w:val="p0"/>
    <w:basedOn w:val="1"/>
    <w:uiPriority w:val="99"/>
    <w:pPr>
      <w:widowControl/>
    </w:pPr>
    <w:rPr>
      <w:kern w:val="0"/>
      <w:szCs w:val="21"/>
    </w:rPr>
  </w:style>
  <w:style w:type="character" w:customStyle="1" w:styleId="9">
    <w:name w:val="Date Char"/>
    <w:basedOn w:val="5"/>
    <w:link w:val="2"/>
    <w:semiHidden/>
    <w:uiPriority w:val="99"/>
    <w:rPr>
      <w:szCs w:val="24"/>
    </w:rPr>
  </w:style>
  <w:style w:type="character" w:customStyle="1" w:styleId="10">
    <w:name w:val="Footer Char"/>
    <w:basedOn w:val="5"/>
    <w:link w:val="3"/>
    <w:semiHidden/>
    <w:qFormat/>
    <w:uiPriority w:val="99"/>
    <w:rPr>
      <w:sz w:val="18"/>
      <w:szCs w:val="18"/>
    </w:rPr>
  </w:style>
  <w:style w:type="character" w:customStyle="1" w:styleId="11">
    <w:name w:val="Header Char"/>
    <w:basedOn w:val="5"/>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311</Words>
  <Characters>1777</Characters>
  <Lines>0</Lines>
  <Paragraphs>0</Paragraphs>
  <TotalTime>0</TotalTime>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2017-07-12T08:05:19Z</cp:lastPrinted>
  <dcterms:modified xsi:type="dcterms:W3CDTF">2017-07-12T08:06:18Z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