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CF6C" w14:textId="77777777" w:rsidR="00481F64" w:rsidRDefault="00481F64">
      <w:pPr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157CCF6D" w14:textId="77777777" w:rsidR="00287DCD" w:rsidRDefault="00481F64" w:rsidP="00BD3425">
      <w:pPr>
        <w:snapToGrid w:val="0"/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关于非营利性公立医院电价享受生活用电政策的建</w:t>
      </w:r>
      <w:r w:rsidR="00BD3425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议</w:t>
      </w:r>
    </w:p>
    <w:p w14:paraId="157CCF6E" w14:textId="77777777" w:rsidR="00287DCD" w:rsidRDefault="00287DCD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157CCF6F" w14:textId="77777777" w:rsidR="00287DCD" w:rsidRDefault="00BD3425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领衔代表：沈群群</w:t>
      </w:r>
    </w:p>
    <w:p w14:paraId="157CCF70" w14:textId="77777777" w:rsidR="00287DCD" w:rsidRDefault="00BD3425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157CCF71" w14:textId="77777777" w:rsidR="00287DCD" w:rsidRDefault="00287DCD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157CCF72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营利性公立医院是我市医疗卫生服务体系的主体，在提供医疗服务的同时，还承担者重大的公益和社会责任。随着医疗卫生事业改革的不断推进，我市非营利性公立医院在医疗卫生事业改革中取得了很大成效，药品零差率销售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大量降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费、免费、各种惠民、利民措施相继推行，群众就医负担得到减轻。非营利性公立医院的这种公益性质决定了其用电也属于公益性用电。</w:t>
      </w:r>
    </w:p>
    <w:p w14:paraId="157CCF73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一、现状分析</w:t>
      </w:r>
      <w:bookmarkStart w:id="0" w:name="_GoBack"/>
      <w:bookmarkEnd w:id="0"/>
    </w:p>
    <w:p w14:paraId="157CCF74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随着公共卫生服务均等化和基本药物目录制度的相继落实，我市非营利性公立医院已由“以药养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”的半盈利性医疗机构转变成完全公益性的公共服务机构。在非营利性公立医院改革的同时，公益性用电等内容却没有跟上改革的步伐，依然按照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医改之前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的一般工商用电标准执行（在</w:t>
      </w:r>
      <w:r>
        <w:rPr>
          <w:rFonts w:ascii="仿宋_GB2312" w:eastAsia="仿宋_GB2312" w:hAnsi="仿宋_GB2312" w:cs="仿宋_GB2312" w:hint="eastAsia"/>
          <w:sz w:val="32"/>
          <w:szCs w:val="32"/>
        </w:rPr>
        <w:t>0.83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度左右）。特别是基层卫生医疗机构随着基本的药物目录制度的实行，药品按国家采购价格出售，基层卫生医疗机构已无利润，电费已成为各非营利性公立医院的一种负担。</w:t>
      </w:r>
    </w:p>
    <w:p w14:paraId="157CCF75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（一）非营利性公立医院不能向患者收取电费，电费已成负担。</w:t>
      </w:r>
    </w:p>
    <w:p w14:paraId="157CCF76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非营利性公立医院不能向患者收取电费，政府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也没有相应的电费补贴。医院电价却按高于居民用电价格的“一般商业用电”标准收取。就按本院（乡镇级的一家非营利性公立医院）去年一年电费约在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万元（按</w:t>
      </w:r>
      <w:r>
        <w:rPr>
          <w:rFonts w:ascii="仿宋_GB2312" w:eastAsia="仿宋_GB2312" w:hAnsi="仿宋_GB2312" w:cs="仿宋_GB2312" w:hint="eastAsia"/>
          <w:sz w:val="32"/>
          <w:szCs w:val="32"/>
        </w:rPr>
        <w:t>0.83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度左右收取），如以居民用电收费（约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0.53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度左右收取）可约节省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万元运行成本。所以非营利性公立医院电费按照“一般商业用电”标准收取，既增加了医院运行压力，又不利于深入落实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医改提出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的解决广大群众“看病难、看病贵”等问题。</w:t>
      </w:r>
    </w:p>
    <w:p w14:paraId="157CCF77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（二）非营利性公立医院用电主要针对患者救治、康复。</w:t>
      </w:r>
    </w:p>
    <w:p w14:paraId="157CCF78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非营利性公立医院用电主要用于医疗救治，如抢救、手术、治疗、检查等。此外也用</w:t>
      </w:r>
      <w:r>
        <w:rPr>
          <w:rFonts w:ascii="仿宋_GB2312" w:eastAsia="仿宋_GB2312" w:hAnsi="仿宋_GB2312" w:cs="仿宋_GB2312" w:hint="eastAsia"/>
          <w:sz w:val="32"/>
          <w:szCs w:val="32"/>
        </w:rPr>
        <w:t>于空调降温或者取暖，由于患者普遍抵抗力较差，一旦环境温度变化，就容易引起病情变化，这都要求在疾病治疗和康复过程中医院要提供相对恒定、舒适的环境。而医院各类考核中都对病房的温湿度有明确的要求，这也使得医院用电量剧增。</w:t>
      </w:r>
    </w:p>
    <w:p w14:paraId="157CCF79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（三）国家未明确非营利性公立医院用电归于哪一类。</w:t>
      </w:r>
    </w:p>
    <w:p w14:paraId="157CCF7A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《国家发展改革委关于调整电价分类结构有关问题的通知》中，将销售电价分为居民生活用电、农业生产用电、工商业及其他用电三个类别。其附件《销售电价分类使用范围》中未明确提及应把非营利性公立医院归于哪一类。</w:t>
      </w:r>
    </w:p>
    <w:p w14:paraId="157CCF7B" w14:textId="77777777" w:rsidR="00287DCD" w:rsidRDefault="00BD3425">
      <w:pPr>
        <w:snapToGrid w:val="0"/>
        <w:spacing w:line="560" w:lineRule="exact"/>
        <w:ind w:left="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二、建议</w:t>
      </w:r>
    </w:p>
    <w:p w14:paraId="157CCF7C" w14:textId="77777777" w:rsidR="00287DCD" w:rsidRDefault="00BD342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政府将非营利性公立医院用电费用收取</w:t>
      </w:r>
      <w:r>
        <w:rPr>
          <w:rFonts w:ascii="仿宋_GB2312" w:eastAsia="仿宋_GB2312" w:hAnsi="仿宋_GB2312" w:cs="仿宋_GB2312" w:hint="eastAsia"/>
          <w:sz w:val="32"/>
          <w:szCs w:val="32"/>
        </w:rPr>
        <w:t>归纳为生活用电，或者政府给予非营利性公立医院商业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用电跟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居民用电差价补助。</w:t>
      </w:r>
    </w:p>
    <w:p w14:paraId="157CCF7D" w14:textId="77777777" w:rsidR="00287DCD" w:rsidRDefault="00287DCD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57CCF7E" w14:textId="77777777" w:rsidR="00287DCD" w:rsidRDefault="00BD3425">
      <w:pPr>
        <w:tabs>
          <w:tab w:val="left" w:pos="3456"/>
        </w:tabs>
        <w:snapToGrid w:val="0"/>
        <w:spacing w:line="560" w:lineRule="exact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sectPr w:rsidR="00287DCD" w:rsidSect="00BD3425"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D55"/>
    <w:rsid w:val="00104023"/>
    <w:rsid w:val="001B5D55"/>
    <w:rsid w:val="001E1437"/>
    <w:rsid w:val="00287DCD"/>
    <w:rsid w:val="00481F64"/>
    <w:rsid w:val="00556F13"/>
    <w:rsid w:val="00637C9A"/>
    <w:rsid w:val="00747538"/>
    <w:rsid w:val="007E52BB"/>
    <w:rsid w:val="0084706F"/>
    <w:rsid w:val="009F36B8"/>
    <w:rsid w:val="00A855EE"/>
    <w:rsid w:val="00B32356"/>
    <w:rsid w:val="00BD3425"/>
    <w:rsid w:val="00E26CEA"/>
    <w:rsid w:val="00ED1C65"/>
    <w:rsid w:val="00EF4D2C"/>
    <w:rsid w:val="00FD13FC"/>
    <w:rsid w:val="02180E62"/>
    <w:rsid w:val="149A75A9"/>
    <w:rsid w:val="18087994"/>
    <w:rsid w:val="19ED343E"/>
    <w:rsid w:val="21337F3D"/>
    <w:rsid w:val="2146592D"/>
    <w:rsid w:val="219C1845"/>
    <w:rsid w:val="33C40D3A"/>
    <w:rsid w:val="36EB4ABD"/>
    <w:rsid w:val="3A017094"/>
    <w:rsid w:val="3FC14781"/>
    <w:rsid w:val="47A61439"/>
    <w:rsid w:val="49875E9B"/>
    <w:rsid w:val="4B9E5082"/>
    <w:rsid w:val="4D25517B"/>
    <w:rsid w:val="5590134F"/>
    <w:rsid w:val="5C373CAB"/>
    <w:rsid w:val="69DC3841"/>
    <w:rsid w:val="6B061F39"/>
    <w:rsid w:val="6DFC745B"/>
    <w:rsid w:val="6FD4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C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C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7D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7DCD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287D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87D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sqq</dc:creator>
  <cp:lastModifiedBy>微软用户</cp:lastModifiedBy>
  <cp:revision>3</cp:revision>
  <dcterms:created xsi:type="dcterms:W3CDTF">2018-01-31T11:35:00Z</dcterms:created>
  <dcterms:modified xsi:type="dcterms:W3CDTF">2018-02-02T08:01:00Z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