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关于市十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sz w:val="32"/>
          <w:szCs w:val="32"/>
        </w:rPr>
        <w:t>届人大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b/>
          <w:sz w:val="32"/>
          <w:szCs w:val="32"/>
        </w:rPr>
        <w:t>次会议第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294</w:t>
      </w:r>
      <w:r>
        <w:rPr>
          <w:rFonts w:hint="eastAsia" w:ascii="黑体" w:eastAsia="黑体"/>
          <w:b/>
          <w:sz w:val="32"/>
          <w:szCs w:val="32"/>
        </w:rPr>
        <w:t>号建议协办意见的函</w:t>
      </w:r>
    </w:p>
    <w:p>
      <w:pPr>
        <w:widowControl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widowControl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经信</w:t>
      </w:r>
      <w:r>
        <w:rPr>
          <w:rFonts w:hint="eastAsia" w:ascii="仿宋" w:hAnsi="仿宋" w:eastAsia="仿宋"/>
          <w:sz w:val="30"/>
          <w:szCs w:val="30"/>
        </w:rPr>
        <w:t>局：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市人大十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/>
          <w:sz w:val="30"/>
          <w:szCs w:val="30"/>
        </w:rPr>
        <w:t>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次会议第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294</w:t>
      </w:r>
      <w:r>
        <w:rPr>
          <w:rFonts w:hint="eastAsia" w:ascii="仿宋" w:hAnsi="仿宋" w:eastAsia="仿宋"/>
          <w:sz w:val="30"/>
          <w:szCs w:val="30"/>
        </w:rPr>
        <w:t>号建议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《关于进一步做优做强制造业的建议》已收悉，现提出如下协办意见：</w:t>
      </w:r>
    </w:p>
    <w:p>
      <w:pPr>
        <w:widowControl/>
        <w:numPr>
          <w:numId w:val="0"/>
        </w:numPr>
        <w:ind w:firstLine="602" w:firstLine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一、前阶段全员招商情况</w:t>
      </w:r>
    </w:p>
    <w:p>
      <w:pPr>
        <w:widowControl/>
        <w:numPr>
          <w:numId w:val="0"/>
        </w:numPr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2021年全市以深化招商体制改革为契机，全力构建“133+X”全员招商工作机制，“1”是指成立市招商引资工作领导小组；第一个“3”是指根据部门职责明确其在招商引资中的定位，将全市各部门分为全员招商主力部门、保障部门和支持部门；第二个“3”是指北京、上海、深圳3个驻点招商办；“X”是指除了以上招商单位的所有全社会招商群体和个体。</w:t>
      </w:r>
    </w:p>
    <w:p>
      <w:pPr>
        <w:widowControl/>
        <w:numPr>
          <w:numId w:val="0"/>
        </w:numPr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全员招商主力部门突出招商主阵地作用，着眼战略布局，聚焦招大引强；全员招商保障部门根据产业联动参与招商、围绕要素保障推进项目；全员招商支持部门根据各自职责服务项目。全市上下强化“一盘棋”理念，各部门各司其职、各尽其责、通力合作，共同促成招商项目落地。加强党政机关干部及专业招商人员业务培训，提高各层面招商专业化水平。</w:t>
      </w:r>
    </w:p>
    <w:p>
      <w:pPr>
        <w:widowControl/>
        <w:numPr>
          <w:numId w:val="0"/>
        </w:numPr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2021年全员招商取得阶段性成果，签约项目数量和投资总量均创历史新高。全年签约产业项目70个，总投资371.32亿元，其中亿元以上或1000万美元以上项目65个（制造业项目49个），落地28个。全年共引进宁波市外资金136.73亿元，其中制造业内资占比35%。</w:t>
      </w:r>
    </w:p>
    <w:p>
      <w:pPr>
        <w:widowControl/>
        <w:numPr>
          <w:numId w:val="0"/>
        </w:numPr>
        <w:ind w:firstLine="602" w:firstLineChars="200"/>
        <w:jc w:val="both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二、下一步招商工作思路</w:t>
      </w:r>
    </w:p>
    <w:p>
      <w:pPr>
        <w:widowControl/>
        <w:numPr>
          <w:numId w:val="0"/>
        </w:numPr>
        <w:ind w:firstLine="600" w:firstLineChars="20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根据市政府《慈溪市新一轮制造业“腾笼换鸟、凤凰涅槃”攻坚行动方案（2021—2025年）》的工作部署，我局已出台《慈溪市制造业招大引强攻坚行动工作方案（2021—2025年）》，明确了制造业招大引强攻坚行动的目标和重点任务。</w:t>
      </w:r>
    </w:p>
    <w:p>
      <w:pPr>
        <w:widowControl/>
        <w:numPr>
          <w:numId w:val="0"/>
        </w:numPr>
        <w:ind w:firstLine="600" w:firstLineChars="20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bookmarkStart w:id="0" w:name="_GoBack"/>
      <w:r>
        <w:rPr>
          <w:rFonts w:hint="default" w:ascii="仿宋" w:hAnsi="仿宋" w:eastAsia="仿宋"/>
          <w:sz w:val="30"/>
          <w:szCs w:val="30"/>
          <w:lang w:val="en-US" w:eastAsia="zh-CN"/>
        </w:rPr>
        <w:t>（一）明确重点招商方向。以我市“123”千百亿级产业集群培育为主要导向，围绕“3+3+X”新型制造业体系，做好招商引资顶层设计，加大六大产业延链、补链、强链项目招引（智能家电、关键基础件、汽车零部件产业以及生命健康、高端装备、新材料），推进先进制造业与现代服务业深度融合。加强项目谋划，在政策导向、产业基础、区域提升上谋项目，发挥产业集聚区载体作用，相关业务主管部门和各产业平台、集团公司根据国家、省、宁波市产业规划，结合慈溪产业发展方向，分别提出产业及各平台招商重点方向，精准招引世界500强和行业领军企业项目。</w:t>
      </w:r>
    </w:p>
    <w:p>
      <w:pPr>
        <w:widowControl/>
        <w:numPr>
          <w:numId w:val="0"/>
        </w:numPr>
        <w:ind w:firstLine="600" w:firstLineChars="20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（二）瞄准重点招商区域。深入京津冀、长三角、珠三角等重点区域，面向北京重点对接央企国企、军民融合等；面向上海重点对接世界500强企业、行业龙头企业、知名中介机构等；面向深圳重点对接上市企业、高科技、潜力型企业；另外，梳理一批以西安、武汉等为重点的人才科技项目集聚城市，分别列出一批与我市产业集群有关联的重点企业名单，开展精准招商。</w:t>
      </w:r>
    </w:p>
    <w:p>
      <w:pPr>
        <w:widowControl/>
        <w:numPr>
          <w:numId w:val="0"/>
        </w:numPr>
        <w:ind w:firstLine="600" w:firstLineChars="20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（三）创新精准招商方法。</w:t>
      </w:r>
    </w:p>
    <w:p>
      <w:pPr>
        <w:widowControl/>
        <w:numPr>
          <w:numId w:val="0"/>
        </w:numPr>
        <w:ind w:firstLine="600" w:firstLineChars="20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1.基金招商。合作一批有实力的基金公司作为招商中介，开展基金招商，一是由基金公司引荐招商项目信息，二是引入基金公司拟（已）投资项目，三是成立政府产业引导基金，规模20-30亿，以市场化方式精准引入产业项目。</w:t>
      </w:r>
    </w:p>
    <w:p>
      <w:pPr>
        <w:widowControl/>
        <w:numPr>
          <w:numId w:val="0"/>
        </w:numPr>
        <w:ind w:firstLine="600" w:firstLineChars="20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2.联动招商。开展委托招商、代理招商、中介招商，坚持政府促进与市场运作相结合方式，健全专业化招商网络，同时与上级投促部门合作，深化前湾新区合作招商，有针对性的招引一批“专精特新”企业和招大引强工作。</w:t>
      </w:r>
    </w:p>
    <w:p>
      <w:pPr>
        <w:widowControl/>
        <w:numPr>
          <w:numId w:val="0"/>
        </w:numPr>
        <w:ind w:firstLine="600" w:firstLineChars="20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3.以企引企、以商引商。积极鼓励本地企业挖掘上下游产业项目信息，推动产业链招商，重点关注“链主型”企业、头部企业招引。充分利用各地龙头企业、行业协会、商会等资源优势，用好各类乡贤、人脉资源，推进以商引商工作。</w:t>
      </w:r>
    </w:p>
    <w:p>
      <w:pPr>
        <w:widowControl/>
        <w:numPr>
          <w:numId w:val="0"/>
        </w:numPr>
        <w:ind w:firstLine="600" w:firstLineChars="20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4.驻点招商。加强北京、上海、深圳驻点办事处招商力量，充分利用一线城市及先进开发区的溢出效应和向外拓展机遇，抓住企业产业布局战略性重构契机，第一时间获取项目信息，建立高层联系渠道，变“守株待兔”为主动出击，争取战略性、重特大项目落户我市。</w:t>
      </w:r>
    </w:p>
    <w:bookmarkEnd w:id="0"/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3990" w:firstLineChars="1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</w:rPr>
        <w:t>慈溪市商务局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2022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王梦果</w:t>
      </w:r>
    </w:p>
    <w:p>
      <w:pPr>
        <w:spacing w:line="54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13407158100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33C31"/>
    <w:rsid w:val="03212FE4"/>
    <w:rsid w:val="18333C31"/>
    <w:rsid w:val="5C0D25B2"/>
    <w:rsid w:val="75A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2022-04-25T07:44:00Z</dcterms:created>
  <dc:creator>Administrator</dc:creator>
  <cp:lastModifiedBy>Administrator</cp:lastModifiedBy>
  <dcterms:modified xsi:type="dcterms:W3CDTF">2022-04-27T02:59:34Z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