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E" w:rsidRDefault="009578EE">
      <w:pPr>
        <w:framePr w:wrap="auto" w:yAlign="inline"/>
        <w:widowControl/>
        <w:suppressAutoHyphens/>
        <w:spacing w:line="560" w:lineRule="exact"/>
        <w:jc w:val="center"/>
        <w:outlineLvl w:val="2"/>
        <w:rPr>
          <w:rFonts w:ascii="宋体" w:eastAsiaTheme="minorEastAsia" w:hAnsi="宋体" w:cs="Arial" w:hint="eastAsia"/>
          <w:b/>
          <w:sz w:val="44"/>
          <w:szCs w:val="44"/>
          <w:lang w:val="zh-TW"/>
        </w:rPr>
      </w:pPr>
    </w:p>
    <w:p w:rsidR="009578EE" w:rsidRDefault="006816A9">
      <w:pPr>
        <w:framePr w:wrap="auto" w:yAlign="inline"/>
        <w:widowControl/>
        <w:suppressAutoHyphens/>
        <w:spacing w:line="560" w:lineRule="exact"/>
        <w:jc w:val="center"/>
        <w:outlineLvl w:val="2"/>
        <w:rPr>
          <w:rFonts w:ascii="宋体" w:eastAsiaTheme="minorEastAsia" w:hAnsi="宋体" w:cs="Arial"/>
          <w:b/>
          <w:sz w:val="44"/>
          <w:szCs w:val="44"/>
          <w:lang w:val="zh-TW" w:eastAsia="zh-TW"/>
        </w:rPr>
      </w:pPr>
      <w:r>
        <w:rPr>
          <w:rFonts w:ascii="宋体" w:eastAsiaTheme="minorEastAsia" w:hAnsi="宋体" w:cs="Arial" w:hint="eastAsia"/>
          <w:b/>
          <w:sz w:val="44"/>
          <w:szCs w:val="44"/>
          <w:lang w:val="zh-TW" w:eastAsia="zh-TW"/>
        </w:rPr>
        <w:t>关于尽快商议制定固体废物乱倾倒</w:t>
      </w:r>
    </w:p>
    <w:p w:rsidR="009578EE" w:rsidRDefault="006816A9">
      <w:pPr>
        <w:framePr w:wrap="auto" w:yAlign="inline"/>
        <w:widowControl/>
        <w:suppressAutoHyphens/>
        <w:spacing w:line="560" w:lineRule="exact"/>
        <w:jc w:val="center"/>
        <w:outlineLvl w:val="2"/>
        <w:rPr>
          <w:rFonts w:ascii="宋体" w:eastAsiaTheme="minorEastAsia" w:hAnsi="宋体" w:cs="Arial"/>
          <w:b/>
          <w:sz w:val="44"/>
          <w:szCs w:val="44"/>
          <w:lang w:val="zh-TW" w:eastAsia="zh-TW"/>
        </w:rPr>
      </w:pPr>
      <w:r>
        <w:rPr>
          <w:rFonts w:ascii="宋体" w:eastAsiaTheme="minorEastAsia" w:hAnsi="宋体" w:cs="Arial" w:hint="eastAsia"/>
          <w:b/>
          <w:sz w:val="44"/>
          <w:szCs w:val="44"/>
          <w:lang w:val="zh-TW" w:eastAsia="zh-TW"/>
        </w:rPr>
        <w:t>处罚意见的建议</w:t>
      </w:r>
    </w:p>
    <w:p w:rsidR="009578EE" w:rsidRDefault="009578EE">
      <w:pPr>
        <w:framePr w:wrap="auto" w:yAlign="inline"/>
        <w:widowControl/>
        <w:suppressAutoHyphens/>
        <w:spacing w:line="560" w:lineRule="exact"/>
        <w:jc w:val="center"/>
        <w:outlineLvl w:val="2"/>
        <w:rPr>
          <w:rFonts w:ascii="宋体" w:eastAsiaTheme="minorEastAsia" w:hAnsi="宋体" w:cs="Arial"/>
          <w:b/>
          <w:sz w:val="44"/>
          <w:szCs w:val="44"/>
          <w:lang w:val="zh-TW" w:eastAsia="zh-TW"/>
        </w:rPr>
      </w:pPr>
    </w:p>
    <w:p w:rsidR="009578EE" w:rsidRDefault="006816A9">
      <w:pPr>
        <w:framePr w:wrap="auto" w:yAlign="inline"/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岑铁军</w:t>
      </w:r>
    </w:p>
    <w:p w:rsidR="009578EE" w:rsidRDefault="006816A9">
      <w:pPr>
        <w:framePr w:wrap="auto" w:yAlign="inline"/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9578EE" w:rsidRDefault="009578EE">
      <w:pPr>
        <w:framePr w:wrap="auto" w:yAlign="inline"/>
        <w:suppressAutoHyphens/>
        <w:spacing w:line="560" w:lineRule="exac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</w:p>
    <w:p w:rsidR="009578EE" w:rsidRDefault="006816A9">
      <w:pPr>
        <w:framePr w:wrap="auto" w:yAlign="inline"/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一般而言，固体废物按来源分为生活垃圾、一般工业固体废物和危险废物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此外还包括医疗废物、农业固体废物、建筑废料及弃土。固体废物如不加妥善收集、利用和处理处置将会污染大气、水体和土壤，危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害人体健康。</w:t>
      </w:r>
    </w:p>
    <w:p w:rsidR="009578EE" w:rsidRDefault="006816A9">
      <w:pPr>
        <w:framePr w:wrap="auto" w:yAlign="inline"/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我市桥头、逍林、匡堰等地生产加工鞋帽、服装、毛绒的“低小散”企业众多，导致一般工业固体废物乱倾倒现象问题突出。自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年初以来，市委市政府高度重视，部署开展了“低小散”行业专项整治工作，并取得了一定成效。当前，我市中心城区新一轮全国文明城市创建活动已经全面启动，大多数镇域也都在开展小城镇环境整治，工作目标高度一致，就是要实现优美的环境，让全市人民过上幸福的生活。但是，一般工业固体废物乱倾倒现象仍然比较严重，时常发生。近期，慈溪电视台《小灵热线》栏目也播出了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中横线边上垃圾泛滥，谁之过谁之责谁来买单？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专题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报道。这不仅严重影响、污染周边环境，而且存在消防安全隐患。为什么这种现象会屡禁不止？其主要原因是一些人抱有侥幸心理，贪图方便，想节省垃圾处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lastRenderedPageBreak/>
        <w:t>理成本。而与此相对应的是，相关部门对此类违法行为的处罚力度不足有必然联系。</w:t>
      </w:r>
    </w:p>
    <w:p w:rsidR="009578EE" w:rsidRDefault="006816A9">
      <w:pPr>
        <w:framePr w:wrap="auto" w:yAlign="inline"/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近日，通过网上悉知浙江省环保厅、财政厅联合发布了《浙江省固体废物环境违法行为举报奖励暂行办法》，自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日已生效实施。而且该《暂行办法》第七条第二款明确了公安部门根据《中华人民共和国治安管理处罚法》对被举报人实施行政拘留的，给予举报人实施奖励的规定。那么，通过进一步了解《中华人民共和国治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安管理处罚法》的规定，其中第二十六条第（四）项：其他寻衅滋事行为，第四十九条：故意损毁公私财物的行为。个人认为故意倾倒固体废物的行为，一方面造成了严重影响、污染周边人居环境，并且存在潜在的消防安全隐患，另一方面又造成了政府财政资金的重复支出（人为造成的垃圾清扫处置费），应该说比较符合上述两点规定的违法行为情形。为此，建议如下：</w:t>
      </w:r>
    </w:p>
    <w:p w:rsidR="009578EE" w:rsidRDefault="006816A9">
      <w:pPr>
        <w:framePr w:wrap="auto" w:yAlign="inline"/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一、请市政府法制办牵头，联合市环保局、市公安局、市综合行政执法局等部门，抓紧商议关于有效遏制垃圾乱倾倒违法行为的从严处罚措施。希望能够在对一般工业固体废物乱倾倒违法行为的处罚方面有新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突破，通过加大处罚力度，真正实现一般工业固体废物乱倾倒违法行为的明显转变。</w:t>
      </w:r>
    </w:p>
    <w:p w:rsidR="009578EE" w:rsidRDefault="006816A9">
      <w:pPr>
        <w:framePr w:wrap="auto" w:yAlign="inline"/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二、关于固体废物乱倾倒违法行为的日常监管，需要进一步明确市镇两级政府部门的工作职责，并以市政府文件下发执行。</w:t>
      </w:r>
    </w:p>
    <w:p w:rsidR="009578EE" w:rsidRDefault="006816A9">
      <w:pPr>
        <w:framePr w:wrap="auto" w:yAlign="inline"/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lastRenderedPageBreak/>
        <w:t>三、根据《浙江省固体废物环境违法行为举报奖励暂行办法》的规定，建议尽快制定适合我市实际的举报奖励办法。</w:t>
      </w:r>
    </w:p>
    <w:p w:rsidR="009578EE" w:rsidRDefault="006816A9">
      <w:pPr>
        <w:framePr w:wrap="auto" w:yAlign="inline"/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四、加强宣传，让举报奖励和严厉处罚措施家喻户晓。</w:t>
      </w:r>
    </w:p>
    <w:p w:rsidR="009578EE" w:rsidRDefault="009578EE">
      <w:pPr>
        <w:framePr w:wrap="auto" w:yAlign="inline"/>
        <w:suppressAutoHyphens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</w:p>
    <w:p w:rsidR="009578EE" w:rsidRDefault="009578EE">
      <w:pPr>
        <w:framePr w:wrap="auto" w:yAlign="inline"/>
        <w:suppressAutoHyphens/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  <w:lang w:val="zh-TW"/>
        </w:rPr>
      </w:pPr>
    </w:p>
    <w:p w:rsidR="009578EE" w:rsidRDefault="009578EE">
      <w:pPr>
        <w:framePr w:wrap="auto" w:yAlign="inline"/>
        <w:suppressAutoHyphens/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  <w:lang w:val="zh-TW"/>
        </w:rPr>
      </w:pPr>
    </w:p>
    <w:p w:rsidR="009578EE" w:rsidRDefault="009578EE">
      <w:pPr>
        <w:framePr w:wrap="auto" w:yAlign="inline"/>
        <w:suppressAutoHyphens/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sectPr w:rsidR="009578EE" w:rsidSect="009578EE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EE" w:rsidRDefault="009578EE" w:rsidP="009578EE">
      <w:pPr>
        <w:framePr w:wrap="around"/>
      </w:pPr>
      <w:r>
        <w:separator/>
      </w:r>
    </w:p>
  </w:endnote>
  <w:endnote w:type="continuationSeparator" w:id="0">
    <w:p w:rsidR="009578EE" w:rsidRDefault="009578EE" w:rsidP="009578EE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宋体"/>
    <w:charset w:val="86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EE" w:rsidRDefault="009578EE">
    <w:pPr>
      <w:pStyle w:val="a4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EE" w:rsidRDefault="009578EE" w:rsidP="009578EE">
      <w:pPr>
        <w:framePr w:wrap="around"/>
      </w:pPr>
      <w:r>
        <w:separator/>
      </w:r>
    </w:p>
  </w:footnote>
  <w:footnote w:type="continuationSeparator" w:id="0">
    <w:p w:rsidR="009578EE" w:rsidRDefault="009578EE" w:rsidP="009578EE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EE" w:rsidRDefault="009578EE">
    <w:pPr>
      <w:pStyle w:val="a4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</w:compat>
  <w:rsids>
    <w:rsidRoot w:val="00B3724C"/>
    <w:rsid w:val="00046929"/>
    <w:rsid w:val="000A3CC0"/>
    <w:rsid w:val="000D27DC"/>
    <w:rsid w:val="00193C3C"/>
    <w:rsid w:val="00257E84"/>
    <w:rsid w:val="003F12B5"/>
    <w:rsid w:val="0064283F"/>
    <w:rsid w:val="006478BD"/>
    <w:rsid w:val="00663C40"/>
    <w:rsid w:val="006735A1"/>
    <w:rsid w:val="006816A9"/>
    <w:rsid w:val="00901500"/>
    <w:rsid w:val="00933330"/>
    <w:rsid w:val="009419A0"/>
    <w:rsid w:val="009578EE"/>
    <w:rsid w:val="00A416EF"/>
    <w:rsid w:val="00AD110D"/>
    <w:rsid w:val="00B3724C"/>
    <w:rsid w:val="00BF347B"/>
    <w:rsid w:val="00C105F8"/>
    <w:rsid w:val="00C94075"/>
    <w:rsid w:val="00CA7A56"/>
    <w:rsid w:val="00E45253"/>
    <w:rsid w:val="00EF3B32"/>
    <w:rsid w:val="00FE16CC"/>
    <w:rsid w:val="0C9F558D"/>
    <w:rsid w:val="1BA8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578EE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578EE"/>
    <w:rPr>
      <w:u w:val="single"/>
    </w:rPr>
  </w:style>
  <w:style w:type="table" w:customStyle="1" w:styleId="TableNormal">
    <w:name w:val="Table Normal"/>
    <w:qFormat/>
    <w:rsid w:val="009578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9578EE"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bidi="ar-SA"/>
    </w:rPr>
  </w:style>
  <w:style w:type="paragraph" w:styleId="a5">
    <w:name w:val="List Paragraph"/>
    <w:qFormat/>
    <w:rsid w:val="009578EE"/>
    <w:pPr>
      <w:framePr w:wrap="around" w:hAnchor="text" w:y="1"/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2018-05-17T00:03:00Z</dcterms:created>
  <dcterms:modified xsi:type="dcterms:W3CDTF">2018-05-17T00:03:00Z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