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Calibri" w:eastAsia="方正小标宋简体" w:cs="Times New Roman"/>
          <w:sz w:val="36"/>
          <w:szCs w:val="36"/>
        </w:rPr>
      </w:pPr>
      <w:r>
        <w:rPr>
          <w:rFonts w:hint="eastAsia" w:ascii="方正小标宋简体" w:hAnsi="Calibri" w:eastAsia="方正小标宋简体" w:cs="Times New Roman"/>
          <w:sz w:val="36"/>
          <w:szCs w:val="36"/>
        </w:rPr>
        <w:t>关于协办市人大十七届二次会议第212号建议的函</w:t>
      </w:r>
    </w:p>
    <w:p>
      <w:pPr>
        <w:rPr>
          <w:sz w:val="30"/>
          <w:szCs w:val="30"/>
        </w:rPr>
      </w:pPr>
    </w:p>
    <w:p>
      <w:pPr>
        <w:rPr>
          <w:rFonts w:ascii="仿宋_GB2312" w:hAnsi="宋体" w:eastAsia="仿宋_GB2312"/>
          <w:sz w:val="32"/>
          <w:szCs w:val="32"/>
        </w:rPr>
      </w:pPr>
      <w:r>
        <w:rPr>
          <w:rFonts w:hint="eastAsia" w:ascii="仿宋_GB2312" w:hAnsi="宋体" w:eastAsia="仿宋_GB2312"/>
          <w:sz w:val="32"/>
          <w:szCs w:val="32"/>
        </w:rPr>
        <w:t>市经信局：</w:t>
      </w:r>
    </w:p>
    <w:p>
      <w:pPr>
        <w:spacing w:line="552"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ab/>
      </w:r>
      <w:r>
        <w:rPr>
          <w:rFonts w:hint="eastAsia" w:ascii="仿宋_GB2312" w:hAnsi="宋体" w:eastAsia="仿宋_GB2312"/>
          <w:sz w:val="32"/>
          <w:szCs w:val="32"/>
        </w:rPr>
        <w:t>何锡利代表在市第十七届人大第二次会议期间提出的《关于提高南部山区信号覆盖率的建议》已收悉，现结合我公司工作职能，提出如下协办意见：</w:t>
      </w:r>
    </w:p>
    <w:p>
      <w:pPr>
        <w:spacing w:line="552"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一、基站覆盖情况</w:t>
      </w:r>
    </w:p>
    <w:p>
      <w:pPr>
        <w:spacing w:line="552"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慈溪市山区主要集中于南部横河镇、匡堰镇、观海卫鸣鹤区域、龙山镇等，目前电信CDMA在慈溪市山林区区域共有27个室外宏站，能对慈溪市山林区域道路大部分进行较好的覆盖，但存在部分弱覆盖和无覆盖，基站分布情况见下图。</w:t>
      </w:r>
    </w:p>
    <w:p>
      <w:pPr>
        <w:spacing w:line="552" w:lineRule="exact"/>
        <w:ind w:firstLine="480" w:firstLineChars="200"/>
        <w:jc w:val="center"/>
        <w:rPr>
          <w:rFonts w:hint="eastAsia"/>
          <w:sz w:val="24"/>
          <w:szCs w:val="24"/>
        </w:rPr>
      </w:pPr>
      <w:r>
        <w:rPr>
          <w:rFonts w:hint="eastAsia"/>
          <w:sz w:val="24"/>
          <w:szCs w:val="24"/>
        </w:rPr>
        <w:t>山区基站分布图一</w:t>
      </w:r>
    </w:p>
    <w:p>
      <w:pPr>
        <w:spacing w:line="360" w:lineRule="auto"/>
        <w:rPr>
          <w:rFonts w:hint="eastAsia"/>
        </w:rPr>
      </w:pPr>
      <w:r>
        <w:drawing>
          <wp:inline distT="0" distB="0" distL="114300" distR="114300">
            <wp:extent cx="5269865" cy="31140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3114040"/>
                    </a:xfrm>
                    <a:prstGeom prst="rect">
                      <a:avLst/>
                    </a:prstGeom>
                    <a:noFill/>
                    <a:ln w="9525">
                      <a:noFill/>
                    </a:ln>
                  </pic:spPr>
                </pic:pic>
              </a:graphicData>
            </a:graphic>
          </wp:inline>
        </w:drawing>
      </w:r>
    </w:p>
    <w:p>
      <w:pPr>
        <w:pStyle w:val="11"/>
        <w:spacing w:line="360" w:lineRule="auto"/>
        <w:ind w:left="360" w:firstLine="0" w:firstLineChars="0"/>
      </w:pPr>
    </w:p>
    <w:p>
      <w:pPr>
        <w:pStyle w:val="11"/>
        <w:spacing w:line="360" w:lineRule="auto"/>
        <w:ind w:left="360" w:firstLine="0" w:firstLineChars="0"/>
        <w:rPr>
          <w:rFonts w:hint="eastAsia"/>
          <w:lang w:val="en-US"/>
        </w:rPr>
      </w:pPr>
    </w:p>
    <w:p>
      <w:pPr>
        <w:spacing w:line="552" w:lineRule="exact"/>
        <w:ind w:firstLine="480" w:firstLineChars="200"/>
        <w:jc w:val="center"/>
        <w:rPr>
          <w:rFonts w:hint="eastAsia"/>
          <w:sz w:val="24"/>
          <w:szCs w:val="24"/>
        </w:rPr>
      </w:pPr>
      <w:r>
        <w:rPr>
          <w:rFonts w:hint="eastAsia"/>
          <w:sz w:val="24"/>
          <w:szCs w:val="24"/>
        </w:rPr>
        <w:t>山区基站分布图二</w:t>
      </w:r>
    </w:p>
    <w:p>
      <w:pPr>
        <w:pStyle w:val="11"/>
        <w:spacing w:line="360" w:lineRule="auto"/>
        <w:ind w:left="360" w:firstLine="0" w:firstLineChars="0"/>
        <w:rPr>
          <w:rFonts w:hint="eastAsia"/>
          <w:lang w:val="en-US"/>
        </w:rPr>
      </w:pPr>
      <w:r>
        <w:drawing>
          <wp:inline distT="0" distB="0" distL="114300" distR="114300">
            <wp:extent cx="5269865" cy="4120515"/>
            <wp:effectExtent l="0" t="0" r="698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4120515"/>
                    </a:xfrm>
                    <a:prstGeom prst="rect">
                      <a:avLst/>
                    </a:prstGeom>
                    <a:noFill/>
                    <a:ln w="9525">
                      <a:noFill/>
                    </a:ln>
                  </pic:spPr>
                </pic:pic>
              </a:graphicData>
            </a:graphic>
          </wp:inline>
        </w:drawing>
      </w:r>
    </w:p>
    <w:p>
      <w:pPr>
        <w:spacing w:line="552" w:lineRule="exact"/>
        <w:ind w:firstLine="480" w:firstLineChars="200"/>
        <w:jc w:val="center"/>
        <w:rPr>
          <w:rFonts w:hint="eastAsia"/>
          <w:sz w:val="24"/>
          <w:szCs w:val="24"/>
        </w:rPr>
      </w:pPr>
      <w:r>
        <w:rPr>
          <w:rFonts w:hint="eastAsia"/>
          <w:sz w:val="24"/>
          <w:szCs w:val="24"/>
        </w:rPr>
        <w:t>山区基站分布图三</w:t>
      </w:r>
    </w:p>
    <w:p>
      <w:pPr>
        <w:pStyle w:val="11"/>
        <w:ind w:left="360" w:firstLine="0" w:firstLineChars="0"/>
        <w:rPr>
          <w:rFonts w:hint="eastAsia" w:ascii="仿宋_GB2312" w:hAnsi="宋体" w:eastAsia="仿宋_GB2312"/>
          <w:sz w:val="32"/>
          <w:szCs w:val="32"/>
        </w:rPr>
      </w:pPr>
      <w:r>
        <w:drawing>
          <wp:inline distT="0" distB="0" distL="114300" distR="114300">
            <wp:extent cx="5271135" cy="393890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3938905"/>
                    </a:xfrm>
                    <a:prstGeom prst="rect">
                      <a:avLst/>
                    </a:prstGeom>
                    <a:noFill/>
                    <a:ln w="9525">
                      <a:noFill/>
                    </a:ln>
                  </pic:spPr>
                </pic:pic>
              </a:graphicData>
            </a:graphic>
          </wp:inline>
        </w:drawing>
      </w:r>
    </w:p>
    <w:p>
      <w:pPr>
        <w:adjustRightInd w:val="0"/>
        <w:snapToGrid w:val="0"/>
        <w:spacing w:line="264" w:lineRule="auto"/>
        <w:ind w:firstLine="640" w:firstLineChars="200"/>
        <w:rPr>
          <w:rFonts w:hint="eastAsia" w:ascii="仿宋_GB2312" w:hAnsi="宋体" w:eastAsia="仿宋_GB2312"/>
          <w:sz w:val="32"/>
          <w:szCs w:val="32"/>
        </w:rPr>
      </w:pPr>
      <w:r>
        <w:rPr>
          <w:rFonts w:hint="eastAsia" w:ascii="仿宋_GB2312" w:hAnsi="宋体" w:eastAsia="仿宋_GB2312"/>
          <w:sz w:val="32"/>
          <w:szCs w:val="32"/>
        </w:rPr>
        <w:t>二、山区道路和林区的信号测试</w:t>
      </w:r>
    </w:p>
    <w:p>
      <w:pPr>
        <w:adjustRightInd w:val="0"/>
        <w:snapToGrid w:val="0"/>
        <w:spacing w:line="264" w:lineRule="auto"/>
        <w:ind w:firstLine="640" w:firstLineChars="200"/>
        <w:rPr>
          <w:rFonts w:hint="eastAsia" w:ascii="仿宋_GB2312" w:hAnsi="宋体" w:eastAsia="仿宋_GB2312"/>
          <w:sz w:val="32"/>
          <w:szCs w:val="32"/>
        </w:rPr>
      </w:pPr>
      <w:r>
        <w:rPr>
          <w:rFonts w:hint="eastAsia" w:ascii="仿宋_GB2312" w:hAnsi="宋体" w:eastAsia="仿宋_GB2312"/>
          <w:sz w:val="32"/>
          <w:szCs w:val="32"/>
        </w:rPr>
        <w:t>为切实了解山区信号覆盖情况，我公司组织专业人员对慈溪市山区道路进行了具体测试和山区林区的仿真测试，具体结果如下：</w:t>
      </w:r>
    </w:p>
    <w:p>
      <w:pPr>
        <w:adjustRightInd w:val="0"/>
        <w:snapToGrid w:val="0"/>
        <w:spacing w:line="264" w:lineRule="auto"/>
        <w:ind w:firstLine="640" w:firstLineChars="200"/>
        <w:rPr>
          <w:rFonts w:ascii="仿宋_GB2312" w:hAnsi="宋体" w:eastAsia="仿宋_GB2312"/>
          <w:sz w:val="32"/>
          <w:szCs w:val="32"/>
        </w:rPr>
      </w:pPr>
      <w:r>
        <w:rPr>
          <w:rFonts w:hint="eastAsia" w:ascii="仿宋_GB2312" w:hAnsi="宋体" w:eastAsia="仿宋_GB2312"/>
          <w:sz w:val="32"/>
          <w:szCs w:val="32"/>
        </w:rPr>
        <w:t>（一）道路覆盖测试</w:t>
      </w:r>
    </w:p>
    <w:p>
      <w:pPr>
        <w:adjustRightInd w:val="0"/>
        <w:snapToGrid w:val="0"/>
        <w:spacing w:line="264" w:lineRule="auto"/>
        <w:ind w:firstLine="480" w:firstLineChars="150"/>
        <w:rPr>
          <w:rFonts w:ascii="仿宋_GB2312" w:hAnsi="宋体" w:eastAsia="仿宋_GB2312"/>
          <w:sz w:val="32"/>
          <w:szCs w:val="32"/>
        </w:rPr>
      </w:pPr>
      <w:r>
        <w:rPr>
          <w:rFonts w:hint="eastAsia" w:ascii="仿宋_GB2312" w:hAnsi="宋体" w:eastAsia="仿宋_GB2312"/>
          <w:sz w:val="32"/>
          <w:szCs w:val="32"/>
        </w:rPr>
        <w:t>1 .指标说明</w:t>
      </w:r>
    </w:p>
    <w:p>
      <w:pPr>
        <w:adjustRightInd w:val="0"/>
        <w:snapToGrid w:val="0"/>
        <w:spacing w:line="264" w:lineRule="auto"/>
        <w:ind w:firstLine="480"/>
        <w:rPr>
          <w:rFonts w:hint="eastAsia" w:ascii="仿宋_GB2312" w:hAnsi="宋体" w:eastAsia="仿宋_GB2312"/>
          <w:sz w:val="32"/>
          <w:szCs w:val="32"/>
        </w:rPr>
      </w:pPr>
      <w:r>
        <w:rPr>
          <w:rFonts w:hint="eastAsia" w:ascii="仿宋_GB2312" w:hAnsi="宋体" w:eastAsia="仿宋_GB2312"/>
          <w:sz w:val="32"/>
          <w:szCs w:val="32"/>
        </w:rPr>
        <w:t>CDMA手机信号一般选择RX作为覆盖的主要指标， EC/IO作为覆盖的参考指标。其中，RX&gt;-85 dbm 为覆盖较好，85≦RX≦-95 dbm为覆盖一般区域，-95≦RX≦-105 dbm为弱覆盖区域，RX&lt;-105 dbm为无覆盖区域；EC/IO&gt;-9 为指标较好区域，-9≦EC/IO≦-12为指标一般区域，-12≦EC/IO≦-15指标较差区域，EC/IO&lt;-15为指标极差区域。</w:t>
      </w:r>
    </w:p>
    <w:p>
      <w:pPr>
        <w:adjustRightInd w:val="0"/>
        <w:snapToGrid w:val="0"/>
        <w:spacing w:line="264" w:lineRule="auto"/>
        <w:ind w:firstLine="480"/>
        <w:rPr>
          <w:rFonts w:hint="eastAsia" w:ascii="仿宋_GB2312" w:hAnsi="宋体" w:eastAsia="仿宋_GB2312"/>
          <w:sz w:val="32"/>
          <w:szCs w:val="32"/>
        </w:rPr>
      </w:pPr>
      <w:r>
        <w:rPr>
          <w:rFonts w:hint="eastAsia" w:ascii="仿宋_GB2312" w:hAnsi="宋体" w:eastAsia="仿宋_GB2312"/>
          <w:sz w:val="32"/>
          <w:szCs w:val="32"/>
        </w:rPr>
        <w:t>2.山区道路测试结果</w:t>
      </w:r>
    </w:p>
    <w:p>
      <w:pPr>
        <w:adjustRightInd w:val="0"/>
        <w:snapToGrid w:val="0"/>
        <w:spacing w:line="264" w:lineRule="auto"/>
        <w:ind w:firstLine="480"/>
        <w:rPr>
          <w:sz w:val="24"/>
          <w:szCs w:val="24"/>
        </w:rPr>
      </w:pPr>
      <w:r>
        <w:rPr>
          <w:rFonts w:hint="eastAsia" w:ascii="仿宋_GB2312" w:hAnsi="宋体" w:eastAsia="仿宋_GB2312"/>
          <w:sz w:val="32"/>
          <w:szCs w:val="32"/>
        </w:rPr>
        <w:t>2.1</w:t>
      </w:r>
      <w:r>
        <w:rPr>
          <w:rFonts w:ascii="仿宋_GB2312" w:hAnsi="宋体" w:eastAsia="仿宋_GB2312"/>
          <w:sz w:val="32"/>
          <w:szCs w:val="32"/>
        </w:rPr>
        <w:t>接收功率</w:t>
      </w:r>
      <w:r>
        <w:rPr>
          <w:rFonts w:hint="eastAsia" w:ascii="仿宋_GB2312" w:hAnsi="宋体" w:eastAsia="仿宋_GB2312"/>
          <w:sz w:val="32"/>
          <w:szCs w:val="32"/>
        </w:rPr>
        <w:t>（RX）测试：</w:t>
      </w:r>
      <w:r>
        <w:rPr>
          <w:rFonts w:ascii="仿宋_GB2312" w:hAnsi="宋体" w:eastAsia="仿宋_GB2312"/>
          <w:sz w:val="32"/>
          <w:szCs w:val="32"/>
        </w:rPr>
        <w:t>从Rx</w:t>
      </w:r>
      <w:r>
        <w:rPr>
          <w:rFonts w:hint="eastAsia" w:ascii="仿宋_GB2312" w:hAnsi="宋体" w:eastAsia="仿宋_GB2312"/>
          <w:sz w:val="32"/>
          <w:szCs w:val="32"/>
        </w:rPr>
        <w:t>AGC</w:t>
      </w:r>
      <w:r>
        <w:rPr>
          <w:rFonts w:ascii="仿宋_GB2312" w:hAnsi="宋体" w:eastAsia="仿宋_GB2312"/>
          <w:sz w:val="32"/>
          <w:szCs w:val="32"/>
        </w:rPr>
        <w:t>覆盖视图可以</w:t>
      </w:r>
      <w:r>
        <w:rPr>
          <w:rFonts w:hint="eastAsia" w:ascii="仿宋_GB2312" w:hAnsi="宋体" w:eastAsia="仿宋_GB2312"/>
          <w:sz w:val="32"/>
          <w:szCs w:val="32"/>
        </w:rPr>
        <w:t>看出</w:t>
      </w:r>
      <w:r>
        <w:rPr>
          <w:rFonts w:ascii="仿宋_GB2312" w:hAnsi="宋体" w:eastAsia="仿宋_GB2312"/>
          <w:sz w:val="32"/>
          <w:szCs w:val="32"/>
        </w:rPr>
        <w:t>，</w:t>
      </w:r>
      <w:r>
        <w:rPr>
          <w:rFonts w:hint="eastAsia" w:ascii="仿宋_GB2312" w:hAnsi="宋体" w:eastAsia="仿宋_GB2312"/>
          <w:sz w:val="32"/>
          <w:szCs w:val="32"/>
        </w:rPr>
        <w:t xml:space="preserve"> RX在-90dBm以上的采样点比例为89.73%，整个慈溪市山区道路</w:t>
      </w:r>
      <w:r>
        <w:rPr>
          <w:rFonts w:ascii="仿宋_GB2312" w:hAnsi="宋体" w:eastAsia="仿宋_GB2312"/>
          <w:sz w:val="32"/>
          <w:szCs w:val="32"/>
        </w:rPr>
        <w:t>的</w:t>
      </w:r>
      <w:r>
        <w:rPr>
          <w:rFonts w:hint="eastAsia" w:ascii="仿宋_GB2312" w:hAnsi="宋体" w:eastAsia="仿宋_GB2312"/>
          <w:sz w:val="32"/>
          <w:szCs w:val="32"/>
        </w:rPr>
        <w:t>RX</w:t>
      </w:r>
      <w:r>
        <w:rPr>
          <w:rFonts w:ascii="仿宋_GB2312" w:hAnsi="宋体" w:eastAsia="仿宋_GB2312"/>
          <w:sz w:val="32"/>
          <w:szCs w:val="32"/>
        </w:rPr>
        <w:t>覆盖</w:t>
      </w:r>
      <w:r>
        <w:rPr>
          <w:rFonts w:hint="eastAsia" w:ascii="仿宋_GB2312" w:hAnsi="宋体" w:eastAsia="仿宋_GB2312"/>
          <w:sz w:val="32"/>
          <w:szCs w:val="32"/>
        </w:rPr>
        <w:t>较理想，个别区域覆盖较差（下图中黑色和红色标注区域）。</w:t>
      </w:r>
    </w:p>
    <w:p>
      <w:pPr>
        <w:spacing w:line="360" w:lineRule="auto"/>
        <w:jc w:val="center"/>
        <w:rPr>
          <w:sz w:val="24"/>
          <w:szCs w:val="24"/>
        </w:rPr>
      </w:pPr>
      <w:r>
        <w:drawing>
          <wp:inline distT="0" distB="0" distL="114300" distR="114300">
            <wp:extent cx="5274310" cy="28359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835910"/>
                    </a:xfrm>
                    <a:prstGeom prst="rect">
                      <a:avLst/>
                    </a:prstGeom>
                    <a:noFill/>
                    <a:ln w="9525">
                      <a:noFill/>
                    </a:ln>
                  </pic:spPr>
                </pic:pic>
              </a:graphicData>
            </a:graphic>
          </wp:inline>
        </w:drawing>
      </w:r>
    </w:p>
    <w:p>
      <w:pPr>
        <w:spacing w:line="360" w:lineRule="auto"/>
        <w:jc w:val="center"/>
        <w:rPr>
          <w:color w:val="000000"/>
          <w:sz w:val="24"/>
          <w:szCs w:val="24"/>
        </w:rPr>
      </w:pPr>
      <w:r>
        <w:rPr>
          <w:rFonts w:hint="eastAsia"/>
          <w:color w:val="000000"/>
          <w:sz w:val="20"/>
        </w:rPr>
        <w:drawing>
          <wp:inline distT="0" distB="0" distL="0" distR="0">
            <wp:extent cx="5276850" cy="1647825"/>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8"/>
                    <a:srcRect/>
                    <a:stretch>
                      <a:fillRect/>
                    </a:stretch>
                  </pic:blipFill>
                  <pic:spPr>
                    <a:xfrm>
                      <a:off x="0" y="0"/>
                      <a:ext cx="5276850" cy="1647825"/>
                    </a:xfrm>
                    <a:prstGeom prst="rect">
                      <a:avLst/>
                    </a:prstGeom>
                    <a:noFill/>
                    <a:ln w="9525" cmpd="sng">
                      <a:noFill/>
                      <a:miter lim="800000"/>
                      <a:headEnd/>
                      <a:tailEnd/>
                    </a:ln>
                  </pic:spPr>
                </pic:pic>
              </a:graphicData>
            </a:graphic>
          </wp:inline>
        </w:drawing>
      </w:r>
    </w:p>
    <w:p>
      <w:pPr>
        <w:spacing w:line="552" w:lineRule="exact"/>
        <w:ind w:firstLine="640" w:firstLineChars="200"/>
        <w:rPr>
          <w:rFonts w:ascii="仿宋_GB2312" w:hAnsi="宋体" w:eastAsia="仿宋_GB2312"/>
          <w:sz w:val="32"/>
          <w:szCs w:val="32"/>
        </w:rPr>
      </w:pPr>
      <w:bookmarkStart w:id="0" w:name="_Toc160329787"/>
      <w:r>
        <w:rPr>
          <w:rFonts w:hint="eastAsia" w:ascii="仿宋_GB2312" w:hAnsi="宋体" w:eastAsia="仿宋_GB2312"/>
          <w:sz w:val="32"/>
          <w:szCs w:val="32"/>
        </w:rPr>
        <w:t xml:space="preserve">2.2 </w:t>
      </w:r>
      <w:r>
        <w:rPr>
          <w:rFonts w:ascii="仿宋_GB2312" w:hAnsi="宋体" w:eastAsia="仿宋_GB2312"/>
          <w:sz w:val="32"/>
          <w:szCs w:val="32"/>
        </w:rPr>
        <w:t>导频强度（Ec/Io）</w:t>
      </w:r>
      <w:r>
        <w:rPr>
          <w:rFonts w:hint="eastAsia" w:ascii="仿宋_GB2312" w:hAnsi="宋体" w:eastAsia="仿宋_GB2312"/>
          <w:sz w:val="32"/>
          <w:szCs w:val="32"/>
        </w:rPr>
        <w:t>测试</w:t>
      </w:r>
      <w:bookmarkEnd w:id="0"/>
      <w:r>
        <w:rPr>
          <w:rFonts w:hint="eastAsia" w:ascii="仿宋_GB2312" w:hAnsi="宋体" w:eastAsia="仿宋_GB2312"/>
          <w:sz w:val="32"/>
          <w:szCs w:val="32"/>
        </w:rPr>
        <w:t>：</w:t>
      </w:r>
      <w:r>
        <w:rPr>
          <w:rFonts w:ascii="仿宋_GB2312" w:hAnsi="宋体" w:eastAsia="仿宋_GB2312"/>
          <w:sz w:val="32"/>
          <w:szCs w:val="32"/>
        </w:rPr>
        <w:t>从导频强度</w:t>
      </w:r>
      <w:r>
        <w:rPr>
          <w:rFonts w:hint="eastAsia" w:ascii="仿宋_GB2312" w:hAnsi="宋体" w:eastAsia="仿宋_GB2312"/>
          <w:sz w:val="32"/>
          <w:szCs w:val="32"/>
        </w:rPr>
        <w:t>分布图可以看出，慈溪山区的</w:t>
      </w:r>
      <w:r>
        <w:rPr>
          <w:rFonts w:ascii="仿宋_GB2312" w:hAnsi="宋体" w:eastAsia="仿宋_GB2312"/>
          <w:sz w:val="32"/>
          <w:szCs w:val="32"/>
        </w:rPr>
        <w:t>导频强度</w:t>
      </w:r>
      <w:r>
        <w:rPr>
          <w:rFonts w:hint="eastAsia" w:ascii="仿宋_GB2312" w:hAnsi="宋体" w:eastAsia="仿宋_GB2312"/>
          <w:sz w:val="32"/>
          <w:szCs w:val="32"/>
        </w:rPr>
        <w:t>覆盖较好，目前Ec/Io≥-10dB的比例为94.09%，Ec/Io在-6dB以上的比例为78.57%（下图中绿色标注区域）。</w:t>
      </w:r>
    </w:p>
    <w:p>
      <w:pPr>
        <w:spacing w:line="360" w:lineRule="auto"/>
        <w:jc w:val="center"/>
        <w:rPr>
          <w:rFonts w:hint="eastAsia" w:ascii="Tahoma" w:hAnsi="Tahoma" w:cs="Tahoma"/>
          <w:sz w:val="24"/>
          <w:szCs w:val="24"/>
          <w:lang w:val="en-US" w:eastAsia="zh-CN"/>
        </w:rPr>
      </w:pPr>
      <w:r>
        <w:drawing>
          <wp:inline distT="0" distB="0" distL="114300" distR="114300">
            <wp:extent cx="5266690" cy="2799715"/>
            <wp:effectExtent l="0" t="0" r="1016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690" cy="2799715"/>
                    </a:xfrm>
                    <a:prstGeom prst="rect">
                      <a:avLst/>
                    </a:prstGeom>
                    <a:noFill/>
                    <a:ln w="9525">
                      <a:noFill/>
                    </a:ln>
                  </pic:spPr>
                </pic:pic>
              </a:graphicData>
            </a:graphic>
          </wp:inline>
        </w:drawing>
      </w:r>
    </w:p>
    <w:p>
      <w:pPr>
        <w:spacing w:line="360" w:lineRule="auto"/>
        <w:jc w:val="center"/>
        <w:rPr>
          <w:rFonts w:ascii="Tahoma" w:hAnsi="Tahoma" w:cs="Tahoma"/>
          <w:sz w:val="24"/>
          <w:szCs w:val="24"/>
        </w:rPr>
      </w:pPr>
      <w:r>
        <w:rPr>
          <w:rFonts w:hint="eastAsia"/>
          <w:color w:val="000000"/>
          <w:sz w:val="20"/>
        </w:rPr>
        <w:drawing>
          <wp:inline distT="0" distB="0" distL="0" distR="0">
            <wp:extent cx="5276850" cy="2143125"/>
            <wp:effectExtent l="1905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noChangeArrowheads="1"/>
                    </pic:cNvPicPr>
                  </pic:nvPicPr>
                  <pic:blipFill>
                    <a:blip r:embed="rId10"/>
                    <a:srcRect/>
                    <a:stretch>
                      <a:fillRect/>
                    </a:stretch>
                  </pic:blipFill>
                  <pic:spPr>
                    <a:xfrm>
                      <a:off x="0" y="0"/>
                      <a:ext cx="5276850" cy="2143125"/>
                    </a:xfrm>
                    <a:prstGeom prst="rect">
                      <a:avLst/>
                    </a:prstGeom>
                    <a:noFill/>
                    <a:ln w="9525" cmpd="sng">
                      <a:noFill/>
                      <a:miter lim="800000"/>
                      <a:headEnd/>
                      <a:tailEnd/>
                    </a:ln>
                  </pic:spPr>
                </pic:pic>
              </a:graphicData>
            </a:graphic>
          </wp:inline>
        </w:drawing>
      </w:r>
    </w:p>
    <w:p>
      <w:pPr>
        <w:spacing w:line="360" w:lineRule="auto"/>
        <w:jc w:val="center"/>
        <w:rPr>
          <w:sz w:val="24"/>
          <w:szCs w:val="24"/>
        </w:rPr>
      </w:pPr>
    </w:p>
    <w:p>
      <w:pPr>
        <w:spacing w:line="360" w:lineRule="auto"/>
        <w:ind w:firstLine="320" w:firstLineChars="100"/>
        <w:rPr>
          <w:rFonts w:hint="eastAsia" w:ascii="仿宋_GB2312" w:hAnsi="宋体" w:eastAsia="仿宋_GB2312"/>
          <w:sz w:val="32"/>
          <w:szCs w:val="32"/>
        </w:rPr>
      </w:pPr>
      <w:bookmarkStart w:id="1" w:name="_Toc160329788"/>
      <w:r>
        <w:rPr>
          <w:rFonts w:hint="eastAsia" w:ascii="仿宋_GB2312" w:hAnsi="宋体" w:eastAsia="仿宋_GB2312"/>
          <w:sz w:val="32"/>
          <w:szCs w:val="32"/>
        </w:rPr>
        <w:t>（二）</w:t>
      </w:r>
      <w:bookmarkEnd w:id="1"/>
      <w:r>
        <w:rPr>
          <w:rFonts w:hint="eastAsia" w:ascii="仿宋_GB2312" w:hAnsi="宋体" w:eastAsia="仿宋_GB2312"/>
          <w:sz w:val="32"/>
          <w:szCs w:val="32"/>
        </w:rPr>
        <w:t>山林区域覆盖仿真</w:t>
      </w:r>
    </w:p>
    <w:p>
      <w:pPr>
        <w:spacing w:line="360" w:lineRule="auto"/>
        <w:ind w:firstLine="420"/>
        <w:jc w:val="left"/>
        <w:rPr>
          <w:rFonts w:ascii="仿宋_GB2312" w:hAnsi="宋体" w:eastAsia="仿宋_GB2312"/>
          <w:sz w:val="32"/>
          <w:szCs w:val="32"/>
        </w:rPr>
      </w:pPr>
      <w:r>
        <w:rPr>
          <w:rFonts w:hint="eastAsia" w:ascii="仿宋_GB2312" w:hAnsi="宋体" w:eastAsia="仿宋_GB2312"/>
          <w:sz w:val="32"/>
          <w:szCs w:val="32"/>
        </w:rPr>
        <w:t>1.慈溪市基站山区RX仿真见下图：由图可知，山林区域的CDMA信号覆盖存在着一部分覆盖较差区域，主要位于和余姚交界的山林中心区域，其占比大约为22%左右。</w:t>
      </w:r>
    </w:p>
    <w:p>
      <w:pPr>
        <w:spacing w:line="360" w:lineRule="auto"/>
        <w:jc w:val="center"/>
        <w:rPr>
          <w:rFonts w:hint="eastAsia"/>
          <w:sz w:val="24"/>
          <w:szCs w:val="24"/>
          <w:lang w:val="en-US" w:eastAsia="zh-CN"/>
        </w:rPr>
      </w:pPr>
      <w:r>
        <w:drawing>
          <wp:inline distT="0" distB="0" distL="114300" distR="114300">
            <wp:extent cx="5274310" cy="32531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3253105"/>
                    </a:xfrm>
                    <a:prstGeom prst="rect">
                      <a:avLst/>
                    </a:prstGeom>
                    <a:noFill/>
                    <a:ln w="9525">
                      <a:noFill/>
                    </a:ln>
                  </pic:spPr>
                </pic:pic>
              </a:graphicData>
            </a:graphic>
          </wp:inline>
        </w:drawing>
      </w:r>
    </w:p>
    <w:p>
      <w:pPr>
        <w:spacing w:line="360" w:lineRule="auto"/>
        <w:jc w:val="center"/>
        <w:rPr>
          <w:rFonts w:hint="eastAsia"/>
          <w:sz w:val="24"/>
          <w:szCs w:val="24"/>
          <w:lang w:val="en-US" w:eastAsia="zh-CN"/>
        </w:rPr>
      </w:pPr>
      <w:r>
        <w:rPr>
          <w:sz w:val="24"/>
          <w:szCs w:val="24"/>
        </w:rPr>
        <w:drawing>
          <wp:inline distT="0" distB="0" distL="0" distR="0">
            <wp:extent cx="1847850" cy="1266825"/>
            <wp:effectExtent l="19050" t="0" r="0" b="0"/>
            <wp:docPr id="32" name="图片 4" descr="接收电平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接收电平图例"/>
                    <pic:cNvPicPr>
                      <a:picLocks noChangeAspect="1" noChangeArrowheads="1"/>
                    </pic:cNvPicPr>
                  </pic:nvPicPr>
                  <pic:blipFill>
                    <a:blip r:embed="rId12"/>
                    <a:srcRect/>
                    <a:stretch>
                      <a:fillRect/>
                    </a:stretch>
                  </pic:blipFill>
                  <pic:spPr>
                    <a:xfrm>
                      <a:off x="0" y="0"/>
                      <a:ext cx="1847850" cy="1266825"/>
                    </a:xfrm>
                    <a:prstGeom prst="rect">
                      <a:avLst/>
                    </a:prstGeom>
                    <a:noFill/>
                    <a:ln w="9525" cmpd="sng">
                      <a:noFill/>
                      <a:miter lim="800000"/>
                      <a:headEnd/>
                      <a:tailEnd/>
                    </a:ln>
                  </pic:spPr>
                </pic:pic>
              </a:graphicData>
            </a:graphic>
          </wp:inline>
        </w:drawing>
      </w:r>
    </w:p>
    <w:p>
      <w:pPr>
        <w:spacing w:line="360" w:lineRule="auto"/>
        <w:ind w:firstLine="320" w:firstLineChars="100"/>
        <w:rPr>
          <w:rFonts w:ascii="仿宋_GB2312" w:hAnsi="宋体" w:eastAsia="仿宋_GB2312"/>
          <w:sz w:val="32"/>
          <w:szCs w:val="32"/>
        </w:rPr>
      </w:pPr>
      <w:r>
        <w:rPr>
          <w:rFonts w:hint="eastAsia" w:ascii="仿宋_GB2312" w:hAnsi="宋体" w:eastAsia="仿宋_GB2312"/>
          <w:sz w:val="32"/>
          <w:szCs w:val="32"/>
        </w:rPr>
        <w:t>2．慈溪市基站山区EC/I0仿真见下图：由图可知，山林区域的导频覆盖要优于RX指标，其指标较差区域与RX指标相同，主要位于和余姚交界的山林中心区域。</w:t>
      </w:r>
    </w:p>
    <w:p>
      <w:pPr>
        <w:pStyle w:val="14"/>
        <w:spacing w:line="360" w:lineRule="auto"/>
        <w:ind w:firstLine="0" w:firstLineChars="0"/>
        <w:rPr>
          <w:rFonts w:hint="eastAsia"/>
          <w:szCs w:val="24"/>
          <w:lang w:val="en-US" w:eastAsia="zh-CN"/>
        </w:rPr>
      </w:pPr>
      <w:r>
        <w:drawing>
          <wp:inline distT="0" distB="0" distL="114300" distR="114300">
            <wp:extent cx="5269865" cy="3266440"/>
            <wp:effectExtent l="0" t="0" r="698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9865" cy="3266440"/>
                    </a:xfrm>
                    <a:prstGeom prst="rect">
                      <a:avLst/>
                    </a:prstGeom>
                    <a:noFill/>
                    <a:ln w="9525">
                      <a:noFill/>
                    </a:ln>
                  </pic:spPr>
                </pic:pic>
              </a:graphicData>
            </a:graphic>
          </wp:inline>
        </w:drawing>
      </w:r>
      <w:bookmarkStart w:id="2" w:name="_GoBack"/>
      <w:bookmarkEnd w:id="2"/>
    </w:p>
    <w:p>
      <w:pPr>
        <w:pStyle w:val="14"/>
        <w:spacing w:line="360" w:lineRule="auto"/>
        <w:ind w:firstLine="0" w:firstLineChars="0"/>
        <w:rPr>
          <w:szCs w:val="24"/>
        </w:rPr>
      </w:pPr>
      <w:r>
        <w:rPr>
          <w:szCs w:val="24"/>
        </w:rPr>
        <w:drawing>
          <wp:inline distT="0" distB="0" distL="0" distR="0">
            <wp:extent cx="4362450" cy="895350"/>
            <wp:effectExtent l="1905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noChangeArrowheads="1"/>
                    </pic:cNvPicPr>
                  </pic:nvPicPr>
                  <pic:blipFill>
                    <a:blip r:embed="rId14"/>
                    <a:srcRect/>
                    <a:stretch>
                      <a:fillRect/>
                    </a:stretch>
                  </pic:blipFill>
                  <pic:spPr>
                    <a:xfrm>
                      <a:off x="0" y="0"/>
                      <a:ext cx="4362450" cy="895350"/>
                    </a:xfrm>
                    <a:prstGeom prst="rect">
                      <a:avLst/>
                    </a:prstGeom>
                    <a:noFill/>
                    <a:ln w="9525" cmpd="sng">
                      <a:noFill/>
                      <a:miter lim="800000"/>
                      <a:headEnd/>
                      <a:tailEnd/>
                    </a:ln>
                  </pic:spPr>
                </pic:pic>
              </a:graphicData>
            </a:graphic>
          </wp:inline>
        </w:drawing>
      </w:r>
    </w:p>
    <w:p>
      <w:pPr>
        <w:spacing w:line="360" w:lineRule="auto"/>
        <w:rPr>
          <w:rFonts w:ascii="仿宋_GB2312" w:hAnsi="宋体" w:eastAsia="仿宋_GB2312"/>
          <w:sz w:val="32"/>
          <w:szCs w:val="32"/>
        </w:rPr>
      </w:pPr>
      <w:r>
        <w:rPr>
          <w:rFonts w:hint="eastAsia"/>
          <w:sz w:val="24"/>
          <w:szCs w:val="24"/>
        </w:rPr>
        <w:t xml:space="preserve">      </w:t>
      </w:r>
      <w:r>
        <w:rPr>
          <w:rFonts w:hint="eastAsia" w:ascii="仿宋_GB2312" w:hAnsi="宋体" w:eastAsia="仿宋_GB2312"/>
          <w:sz w:val="32"/>
          <w:szCs w:val="32"/>
        </w:rPr>
        <w:t>三、综上所述，慈溪市山林区域总体覆盖较好，山区中间区域确实存在部分弱覆盖及无覆盖区域，我公司将加大基站勘测力度，积极担负起社会责任。由于山区建站比较困难，考虑的因素较多，进度比较缓慢，我公司将积极协调，逐步推进，也恳请当地镇政府及山区村组织给予大力支持。近期，我公司已协调铁塔公司，在慈溪林场一带建设一处基站，目前已经上报上级公司审核。</w:t>
      </w:r>
    </w:p>
    <w:p>
      <w:pPr>
        <w:spacing w:line="360" w:lineRule="auto"/>
        <w:ind w:firstLine="640" w:firstLineChars="200"/>
        <w:rPr>
          <w:rFonts w:hint="eastAsia" w:ascii="仿宋_GB2312" w:hAnsi="宋体" w:eastAsia="仿宋_GB2312"/>
          <w:sz w:val="32"/>
          <w:szCs w:val="32"/>
        </w:rPr>
      </w:pPr>
      <w:r>
        <w:rPr>
          <w:rFonts w:hint="eastAsia" w:ascii="仿宋_GB2312" w:hAnsi="宋体" w:eastAsia="仿宋_GB2312"/>
          <w:sz w:val="32"/>
          <w:szCs w:val="32"/>
        </w:rPr>
        <w:t>特此致函。</w:t>
      </w:r>
    </w:p>
    <w:p>
      <w:pPr>
        <w:pStyle w:val="6"/>
        <w:spacing w:before="0" w:beforeAutospacing="0" w:after="0" w:afterAutospacing="0"/>
        <w:ind w:firstLine="4960" w:firstLineChars="1550"/>
        <w:rPr>
          <w:rFonts w:ascii="仿宋_GB2312" w:hAnsi="仿宋_GB2312" w:cs="仿宋_GB2312"/>
          <w:bCs/>
          <w:color w:val="000000"/>
          <w:kern w:val="2"/>
          <w:sz w:val="32"/>
          <w:szCs w:val="32"/>
        </w:rPr>
      </w:pPr>
      <w:r>
        <w:rPr>
          <w:rFonts w:hint="eastAsia" w:ascii="仿宋_GB2312" w:hAnsi="仿宋_GB2312" w:cs="仿宋_GB2312"/>
          <w:bCs/>
          <w:color w:val="000000"/>
          <w:kern w:val="2"/>
          <w:sz w:val="32"/>
          <w:szCs w:val="32"/>
        </w:rPr>
        <w:t>中国电信慈溪分公司</w:t>
      </w:r>
    </w:p>
    <w:p>
      <w:pPr>
        <w:spacing w:line="360" w:lineRule="auto"/>
        <w:ind w:firstLine="5280" w:firstLineChars="165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2018年4月27日</w:t>
      </w:r>
    </w:p>
    <w:p>
      <w:pPr>
        <w:spacing w:line="360" w:lineRule="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联 系 人：潘维杰   联系电话:</w:t>
      </w:r>
      <w:r>
        <w:rPr>
          <w:rFonts w:hint="eastAsia" w:ascii="仿宋_GB2312" w:eastAsia="仿宋_GB2312"/>
          <w:sz w:val="32"/>
          <w:szCs w:val="32"/>
        </w:rPr>
        <w:t xml:space="preserve"> 63815585</w:t>
      </w:r>
    </w:p>
    <w:p>
      <w:pPr>
        <w:rPr>
          <w:rFonts w:hint="eastAsia" w:ascii="仿宋_GB2312" w:hAnsi="宋体" w:eastAsia="仿宋_GB2312"/>
          <w:sz w:val="32"/>
          <w:szCs w:val="32"/>
        </w:rPr>
      </w:pPr>
    </w:p>
    <w:p>
      <w:pPr>
        <w:rPr>
          <w:rFonts w:hint="eastAsia" w:ascii="仿宋_GB2312" w:hAnsi="宋体" w:eastAsia="仿宋_GB2312"/>
          <w:sz w:val="32"/>
          <w:szCs w:val="32"/>
        </w:rPr>
      </w:pPr>
    </w:p>
    <w:p>
      <w:pPr>
        <w:rPr>
          <w:rFonts w:hint="eastAsia" w:ascii="仿宋_GB2312" w:hAnsi="宋体"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Arial Unicode MS"/>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40B"/>
    <w:rsid w:val="00052347"/>
    <w:rsid w:val="00186D8F"/>
    <w:rsid w:val="00210D4D"/>
    <w:rsid w:val="00213E6A"/>
    <w:rsid w:val="00262519"/>
    <w:rsid w:val="002671FE"/>
    <w:rsid w:val="002E1822"/>
    <w:rsid w:val="0038643B"/>
    <w:rsid w:val="00394705"/>
    <w:rsid w:val="00397AE6"/>
    <w:rsid w:val="003C6160"/>
    <w:rsid w:val="004100AB"/>
    <w:rsid w:val="00425D72"/>
    <w:rsid w:val="004450E9"/>
    <w:rsid w:val="004E341D"/>
    <w:rsid w:val="005923FE"/>
    <w:rsid w:val="005A1710"/>
    <w:rsid w:val="005C36CB"/>
    <w:rsid w:val="005F39B9"/>
    <w:rsid w:val="006573C8"/>
    <w:rsid w:val="006B7A76"/>
    <w:rsid w:val="00700971"/>
    <w:rsid w:val="00795E41"/>
    <w:rsid w:val="008466CF"/>
    <w:rsid w:val="008652BD"/>
    <w:rsid w:val="00866F23"/>
    <w:rsid w:val="008907D0"/>
    <w:rsid w:val="008A44E0"/>
    <w:rsid w:val="009F24BD"/>
    <w:rsid w:val="00AA2847"/>
    <w:rsid w:val="00B228F3"/>
    <w:rsid w:val="00BE2460"/>
    <w:rsid w:val="00C332E6"/>
    <w:rsid w:val="00CB2291"/>
    <w:rsid w:val="00D223DA"/>
    <w:rsid w:val="00D2540B"/>
    <w:rsid w:val="00DB6BBE"/>
    <w:rsid w:val="00EC2E9B"/>
    <w:rsid w:val="00EE53EF"/>
    <w:rsid w:val="00F351A2"/>
    <w:rsid w:val="00FF67EE"/>
    <w:rsid w:val="6DFD4CCB"/>
    <w:rsid w:val="779E1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qFormat/>
    <w:uiPriority w:val="0"/>
    <w:pPr>
      <w:keepNext/>
      <w:widowControl/>
      <w:tabs>
        <w:tab w:val="left" w:pos="3570"/>
      </w:tabs>
      <w:adjustRightInd w:val="0"/>
      <w:snapToGrid w:val="0"/>
      <w:spacing w:line="360" w:lineRule="auto"/>
      <w:ind w:firstLine="206" w:firstLineChars="98"/>
      <w:jc w:val="left"/>
      <w:outlineLvl w:val="1"/>
    </w:pPr>
    <w:rPr>
      <w:rFonts w:ascii="Times New Roman" w:hAnsi="Times New Roman" w:eastAsia="宋体" w:cs="Times New Roman"/>
      <w:b/>
      <w:szCs w:val="16"/>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0"/>
    <w:semiHidden/>
    <w:unhideWhenUsed/>
    <w:uiPriority w:val="99"/>
    <w:pPr>
      <w:tabs>
        <w:tab w:val="center" w:pos="4153"/>
        <w:tab w:val="right" w:pos="8306"/>
      </w:tabs>
      <w:snapToGrid w:val="0"/>
      <w:jc w:val="left"/>
    </w:pPr>
    <w:rPr>
      <w:sz w:val="18"/>
      <w:szCs w:val="18"/>
    </w:rPr>
  </w:style>
  <w:style w:type="paragraph" w:styleId="5">
    <w:name w:val="header"/>
    <w:basedOn w:val="1"/>
    <w:link w:val="9"/>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pPr>
      <w:widowControl/>
      <w:spacing w:before="100" w:beforeAutospacing="1" w:after="100" w:afterAutospacing="1" w:line="552" w:lineRule="exact"/>
      <w:ind w:firstLine="200" w:firstLineChars="200"/>
      <w:jc w:val="left"/>
    </w:pPr>
    <w:rPr>
      <w:rFonts w:ascii="Times New Roman" w:hAnsi="Times New Roman" w:eastAsia="仿宋_GB2312" w:cs="Times New Roman"/>
      <w:kern w:val="0"/>
      <w:sz w:val="24"/>
      <w:szCs w:val="20"/>
    </w:rPr>
  </w:style>
  <w:style w:type="character" w:customStyle="1" w:styleId="9">
    <w:name w:val="页眉 Char"/>
    <w:basedOn w:val="7"/>
    <w:link w:val="5"/>
    <w:semiHidden/>
    <w:uiPriority w:val="99"/>
    <w:rPr>
      <w:sz w:val="18"/>
      <w:szCs w:val="18"/>
    </w:rPr>
  </w:style>
  <w:style w:type="character" w:customStyle="1" w:styleId="10">
    <w:name w:val="页脚 Char"/>
    <w:basedOn w:val="7"/>
    <w:link w:val="4"/>
    <w:semiHidden/>
    <w:uiPriority w:val="99"/>
    <w:rPr>
      <w:sz w:val="18"/>
      <w:szCs w:val="18"/>
    </w:rPr>
  </w:style>
  <w:style w:type="paragraph" w:styleId="11">
    <w:name w:val="List Paragraph"/>
    <w:basedOn w:val="1"/>
    <w:qFormat/>
    <w:uiPriority w:val="34"/>
    <w:pPr>
      <w:ind w:firstLine="420" w:firstLineChars="200"/>
    </w:pPr>
  </w:style>
  <w:style w:type="character" w:customStyle="1" w:styleId="12">
    <w:name w:val="标题 2 Char"/>
    <w:basedOn w:val="7"/>
    <w:link w:val="2"/>
    <w:uiPriority w:val="0"/>
    <w:rPr>
      <w:rFonts w:ascii="Times New Roman" w:hAnsi="Times New Roman" w:eastAsia="宋体" w:cs="Times New Roman"/>
      <w:b/>
      <w:szCs w:val="16"/>
    </w:rPr>
  </w:style>
  <w:style w:type="character" w:customStyle="1" w:styleId="13">
    <w:name w:val="批注框文本 Char"/>
    <w:basedOn w:val="7"/>
    <w:link w:val="3"/>
    <w:semiHidden/>
    <w:uiPriority w:val="99"/>
    <w:rPr>
      <w:sz w:val="18"/>
      <w:szCs w:val="18"/>
    </w:rPr>
  </w:style>
  <w:style w:type="paragraph" w:customStyle="1" w:styleId="14">
    <w:name w:val="样式 小四 首行缩进:  2 字符"/>
    <w:basedOn w:val="1"/>
    <w:qFormat/>
    <w:uiPriority w:val="0"/>
    <w:pPr>
      <w:spacing w:line="300" w:lineRule="auto"/>
      <w:ind w:firstLine="480" w:firstLineChars="20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35B030-58C7-4D5B-B0F8-58FECB9A7DE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Pages>
  <Words>173</Words>
  <Characters>987</Characters>
  <Lines>8</Lines>
  <Paragraphs>2</Paragraphs>
  <TotalTime>7</TotalTime>
  <ScaleCrop>false</ScaleCrop>
  <LinksUpToDate>false</LinksUpToDate>
  <CharactersWithSpaces>1158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2018-04-28T02:17:00Z</dcterms:created>
  <dc:creator>admin</dc:creator>
  <cp:lastModifiedBy>admin</cp:lastModifiedBy>
  <dcterms:modified xsi:type="dcterms:W3CDTF">2018-04-28T02:56:04Z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